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B6EC" w14:textId="5755A88B" w:rsidR="00AD01D2" w:rsidRPr="00131924" w:rsidRDefault="00AD01D2" w:rsidP="00131924">
      <w:pPr>
        <w:spacing w:after="0" w:line="240" w:lineRule="auto"/>
        <w:rPr>
          <w:rFonts w:cstheme="minorHAnsi"/>
          <w:b/>
          <w:sz w:val="28"/>
          <w:szCs w:val="28"/>
        </w:rPr>
      </w:pPr>
      <w:r w:rsidRPr="00131924">
        <w:rPr>
          <w:rFonts w:cstheme="minorHAnsi"/>
          <w:b/>
          <w:sz w:val="28"/>
          <w:szCs w:val="28"/>
        </w:rPr>
        <w:t>Dywersyfikacja – złota zasada (nie tylko) w inwestowaniu</w:t>
      </w:r>
    </w:p>
    <w:p w14:paraId="285272DF" w14:textId="77777777" w:rsidR="00AD01D2" w:rsidRDefault="00AD01D2" w:rsidP="00175A47">
      <w:pPr>
        <w:spacing w:line="240" w:lineRule="auto"/>
        <w:rPr>
          <w:rFonts w:cstheme="minorHAnsi"/>
          <w:bCs/>
        </w:rPr>
      </w:pPr>
    </w:p>
    <w:p w14:paraId="7E0DA781" w14:textId="01FF256B" w:rsidR="00AD01D2" w:rsidRDefault="00643D7E" w:rsidP="00175A47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 tym, że różnorodność </w:t>
      </w:r>
      <w:r w:rsidR="00835D19">
        <w:rPr>
          <w:rFonts w:cstheme="minorHAnsi"/>
          <w:bCs/>
        </w:rPr>
        <w:t>opłaca się</w:t>
      </w:r>
      <w:r>
        <w:rPr>
          <w:rFonts w:cstheme="minorHAnsi"/>
          <w:bCs/>
        </w:rPr>
        <w:t xml:space="preserve"> przekonują eksperci z wielu dziedzin. Dietetycy zalecają zróżnicowaną dietę, jako sposób na dostarczanie wszystkich niezbędnych składników odżywczych. Ekolodzy podkreślają, że im większa bioróżnorodność, czyli liczba gatunków występujących na danym terenie</w:t>
      </w:r>
      <w:r w:rsidR="00835D19">
        <w:rPr>
          <w:rFonts w:cstheme="minorHAnsi"/>
          <w:bCs/>
        </w:rPr>
        <w:t>,</w:t>
      </w:r>
      <w:r>
        <w:rPr>
          <w:rFonts w:cstheme="minorHAnsi"/>
          <w:bCs/>
        </w:rPr>
        <w:t xml:space="preserve"> tym silniejszy i bardziej odporny ekosystem. Genetycy udowodnili, że zróżnicowane genetycznie populacje są bardziej odporne na choroby. Natomiast ekonomiści przekonują, że różnorodność jest </w:t>
      </w:r>
      <w:r w:rsidR="00835D19">
        <w:rPr>
          <w:rFonts w:cstheme="minorHAnsi"/>
          <w:bCs/>
        </w:rPr>
        <w:t>korzystna</w:t>
      </w:r>
      <w:r>
        <w:rPr>
          <w:rFonts w:cstheme="minorHAnsi"/>
          <w:bCs/>
        </w:rPr>
        <w:t xml:space="preserve"> także dla naszego portfela.</w:t>
      </w:r>
    </w:p>
    <w:p w14:paraId="6CDFFF8A" w14:textId="2C8012CD" w:rsidR="00F40835" w:rsidRDefault="00643D7E" w:rsidP="00175A47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„Nie wkładaj wszystkich jajek do jednego koszyka” albo „nie stawiaj wszystkiego na jedną kartę”</w:t>
      </w:r>
      <w:r w:rsidR="00F40835">
        <w:rPr>
          <w:rFonts w:cstheme="minorHAnsi"/>
          <w:bCs/>
        </w:rPr>
        <w:t xml:space="preserve"> - </w:t>
      </w:r>
      <w:r>
        <w:rPr>
          <w:rFonts w:cstheme="minorHAnsi"/>
          <w:bCs/>
        </w:rPr>
        <w:t xml:space="preserve"> te potoczne powiedzenia dobrze obrazują</w:t>
      </w:r>
      <w:r w:rsidR="00656DE3">
        <w:rPr>
          <w:rFonts w:cstheme="minorHAnsi"/>
          <w:bCs/>
        </w:rPr>
        <w:t>,</w:t>
      </w:r>
      <w:r>
        <w:rPr>
          <w:rFonts w:cstheme="minorHAnsi"/>
          <w:bCs/>
        </w:rPr>
        <w:t xml:space="preserve"> na czym polega zasada dywersyfikacji w odniesieniu do pieniędzy. Aby zwiększyć</w:t>
      </w:r>
      <w:r w:rsidR="00553A9D">
        <w:rPr>
          <w:rFonts w:cstheme="minorHAnsi"/>
          <w:bCs/>
        </w:rPr>
        <w:t xml:space="preserve"> ich</w:t>
      </w:r>
      <w:r>
        <w:rPr>
          <w:rFonts w:cstheme="minorHAnsi"/>
          <w:bCs/>
        </w:rPr>
        <w:t xml:space="preserve"> bezpieczeństwo nie </w:t>
      </w:r>
      <w:r w:rsidR="00553A9D">
        <w:rPr>
          <w:rFonts w:cstheme="minorHAnsi"/>
          <w:bCs/>
        </w:rPr>
        <w:t>powinno</w:t>
      </w:r>
      <w:r>
        <w:rPr>
          <w:rFonts w:cstheme="minorHAnsi"/>
          <w:bCs/>
        </w:rPr>
        <w:t xml:space="preserve"> trzy</w:t>
      </w:r>
      <w:r w:rsidR="00656DE3">
        <w:rPr>
          <w:rFonts w:cstheme="minorHAnsi"/>
          <w:bCs/>
        </w:rPr>
        <w:t>mać ich w jednym miejscu.</w:t>
      </w:r>
      <w:r w:rsidR="00553A9D">
        <w:rPr>
          <w:rFonts w:cstheme="minorHAnsi"/>
          <w:bCs/>
        </w:rPr>
        <w:t xml:space="preserve"> Dotyczy to zarówno naszych oszczędności, jak i inwestycji</w:t>
      </w:r>
      <w:r w:rsidR="007B4D38">
        <w:rPr>
          <w:rFonts w:cstheme="minorHAnsi"/>
          <w:bCs/>
        </w:rPr>
        <w:t>.</w:t>
      </w:r>
    </w:p>
    <w:p w14:paraId="0F834211" w14:textId="14C22922" w:rsidR="00643D7E" w:rsidRDefault="00656DE3" w:rsidP="00175A47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Dywersyfikację można stosować na różne sposoby. </w:t>
      </w:r>
      <w:r w:rsidR="00A51B9E">
        <w:rPr>
          <w:rFonts w:cstheme="minorHAnsi"/>
          <w:bCs/>
        </w:rPr>
        <w:t xml:space="preserve">Jedną z nich jest inwestowanie w różne </w:t>
      </w:r>
      <w:r w:rsidR="002A4CCA">
        <w:rPr>
          <w:rFonts w:cstheme="minorHAnsi"/>
          <w:bCs/>
        </w:rPr>
        <w:t>aktywa</w:t>
      </w:r>
      <w:r w:rsidR="00A51B9E">
        <w:rPr>
          <w:rFonts w:cstheme="minorHAnsi"/>
          <w:bCs/>
        </w:rPr>
        <w:t xml:space="preserve"> – akcje, obligacje skarbowe, obligacje korporacyjne, fundusze inwestycyjne, metale szlachetne, nieruchomości itp. Warto pamiętać również o tym, aby w ramach dywersyfikacji część środków finansowych ulokować na lokacie w banku</w:t>
      </w:r>
      <w:r w:rsidR="002A4CCA">
        <w:rPr>
          <w:rFonts w:cstheme="minorHAnsi"/>
          <w:bCs/>
        </w:rPr>
        <w:t xml:space="preserve"> – bezpieczeństwo środków do równowartości 100 000 euro gwarantuje Bankowy Fundusz Gwarancyjny. </w:t>
      </w:r>
      <w:r w:rsidR="00A51B9E">
        <w:rPr>
          <w:rFonts w:cstheme="minorHAnsi"/>
          <w:bCs/>
        </w:rPr>
        <w:t xml:space="preserve"> </w:t>
      </w:r>
    </w:p>
    <w:p w14:paraId="398A3262" w14:textId="50F27A9E" w:rsidR="00656DE3" w:rsidRDefault="000568C4" w:rsidP="00175A47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Dywersyfikację warto stosować również w ramach tej samej klasy aktywów. Na przykład inwestując na giełdzie można kupować akcje spółek z różnych sektorów gospodarki.</w:t>
      </w:r>
      <w:r w:rsidR="00F40835">
        <w:rPr>
          <w:rFonts w:cstheme="minorHAnsi"/>
          <w:bCs/>
        </w:rPr>
        <w:t xml:space="preserve"> </w:t>
      </w:r>
      <w:r w:rsidR="00007841">
        <w:rPr>
          <w:rFonts w:cstheme="minorHAnsi"/>
          <w:bCs/>
        </w:rPr>
        <w:t>Na Giełdzie Papierów Wartościowych w Warszawie</w:t>
      </w:r>
      <w:r>
        <w:rPr>
          <w:rFonts w:cstheme="minorHAnsi"/>
          <w:bCs/>
        </w:rPr>
        <w:t xml:space="preserve"> notowane są m.in. banki, spółki górnicze, energetyczne, paliwowe, chemiczne, telekomunikacyjne a także producenci odzieży, żywności czy gier komputerowych. </w:t>
      </w:r>
      <w:r w:rsidR="002A4CCA">
        <w:rPr>
          <w:rFonts w:cstheme="minorHAnsi"/>
          <w:bCs/>
        </w:rPr>
        <w:t>Prawdopodobieństwo, że</w:t>
      </w:r>
      <w:r w:rsidR="005A523D">
        <w:rPr>
          <w:rFonts w:cstheme="minorHAnsi"/>
          <w:bCs/>
        </w:rPr>
        <w:t xml:space="preserve"> </w:t>
      </w:r>
      <w:r>
        <w:rPr>
          <w:rFonts w:cstheme="minorHAnsi"/>
          <w:bCs/>
        </w:rPr>
        <w:t>wszystkie tak różnorodne branże jednocześnie zna</w:t>
      </w:r>
      <w:r w:rsidR="005A523D">
        <w:rPr>
          <w:rFonts w:cstheme="minorHAnsi"/>
          <w:bCs/>
        </w:rPr>
        <w:t>jdą</w:t>
      </w:r>
      <w:r>
        <w:rPr>
          <w:rFonts w:cstheme="minorHAnsi"/>
          <w:bCs/>
        </w:rPr>
        <w:t xml:space="preserve"> się w kryzysie</w:t>
      </w:r>
      <w:r w:rsidR="005A523D">
        <w:rPr>
          <w:rFonts w:cstheme="minorHAnsi"/>
          <w:bCs/>
        </w:rPr>
        <w:t xml:space="preserve"> nie jest wysokie.</w:t>
      </w:r>
      <w:r>
        <w:rPr>
          <w:rFonts w:cstheme="minorHAnsi"/>
          <w:bCs/>
        </w:rPr>
        <w:t xml:space="preserve"> </w:t>
      </w:r>
      <w:r w:rsidR="006F5449">
        <w:rPr>
          <w:rFonts w:cstheme="minorHAnsi"/>
          <w:bCs/>
        </w:rPr>
        <w:t xml:space="preserve">Innym często stosowanym rodzajem dywersyfikacji jest inwestowanie w spółki z różnych państw. Zagraniczne akcje można kupować </w:t>
      </w:r>
      <w:r w:rsidR="005A523D">
        <w:rPr>
          <w:rFonts w:cstheme="minorHAnsi"/>
          <w:bCs/>
        </w:rPr>
        <w:t xml:space="preserve">za pośrednictwem </w:t>
      </w:r>
      <w:r w:rsidR="006F5449">
        <w:rPr>
          <w:rFonts w:cstheme="minorHAnsi"/>
          <w:bCs/>
        </w:rPr>
        <w:t xml:space="preserve"> biur</w:t>
      </w:r>
      <w:r w:rsidR="005A523D">
        <w:rPr>
          <w:rFonts w:cstheme="minorHAnsi"/>
          <w:bCs/>
        </w:rPr>
        <w:t>a</w:t>
      </w:r>
      <w:r w:rsidR="006F5449">
        <w:rPr>
          <w:rFonts w:cstheme="minorHAnsi"/>
          <w:bCs/>
        </w:rPr>
        <w:t xml:space="preserve"> maklerskie</w:t>
      </w:r>
      <w:r w:rsidR="005A523D">
        <w:rPr>
          <w:rFonts w:cstheme="minorHAnsi"/>
          <w:bCs/>
        </w:rPr>
        <w:t>go</w:t>
      </w:r>
      <w:r w:rsidR="006F5449">
        <w:rPr>
          <w:rFonts w:cstheme="minorHAnsi"/>
          <w:bCs/>
        </w:rPr>
        <w:t xml:space="preserve"> lub zainwestować</w:t>
      </w:r>
      <w:r w:rsidR="005A523D">
        <w:rPr>
          <w:rFonts w:cstheme="minorHAnsi"/>
          <w:bCs/>
        </w:rPr>
        <w:t xml:space="preserve"> w odpowiednie fundusze inwestycyjne. </w:t>
      </w:r>
      <w:r w:rsidR="006F5449">
        <w:rPr>
          <w:rFonts w:cstheme="minorHAnsi"/>
          <w:bCs/>
        </w:rPr>
        <w:t xml:space="preserve"> </w:t>
      </w:r>
    </w:p>
    <w:p w14:paraId="05BBB9E3" w14:textId="64A1B698" w:rsidR="006F5449" w:rsidRDefault="000568C4" w:rsidP="00175A47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Również w przypadku </w:t>
      </w:r>
      <w:r w:rsidR="005A523D">
        <w:rPr>
          <w:rFonts w:cstheme="minorHAnsi"/>
          <w:bCs/>
        </w:rPr>
        <w:t>korzystania z usług banków</w:t>
      </w:r>
      <w:r w:rsidR="00D6281D">
        <w:rPr>
          <w:rFonts w:cstheme="minorHAnsi"/>
          <w:bCs/>
        </w:rPr>
        <w:t>,</w:t>
      </w:r>
      <w:r w:rsidR="005A523D">
        <w:rPr>
          <w:rFonts w:cstheme="minorHAnsi"/>
          <w:bCs/>
        </w:rPr>
        <w:t xml:space="preserve"> wart</w:t>
      </w:r>
      <w:r w:rsidR="00D6281D">
        <w:rPr>
          <w:rFonts w:cstheme="minorHAnsi"/>
          <w:bCs/>
        </w:rPr>
        <w:t>o</w:t>
      </w:r>
      <w:r w:rsidR="005A523D">
        <w:rPr>
          <w:rFonts w:cstheme="minorHAnsi"/>
          <w:bCs/>
        </w:rPr>
        <w:t xml:space="preserve"> stosować zasadę dywersyfikacji.</w:t>
      </w:r>
      <w:r>
        <w:rPr>
          <w:rFonts w:cstheme="minorHAnsi"/>
          <w:bCs/>
        </w:rPr>
        <w:t xml:space="preserve"> Trzymanie </w:t>
      </w:r>
      <w:r w:rsidR="005A523D">
        <w:rPr>
          <w:rFonts w:cstheme="minorHAnsi"/>
          <w:bCs/>
        </w:rPr>
        <w:t xml:space="preserve">oszczędności </w:t>
      </w:r>
      <w:r>
        <w:rPr>
          <w:rFonts w:cstheme="minorHAnsi"/>
          <w:bCs/>
        </w:rPr>
        <w:t xml:space="preserve"> w kilku bankach pozwala korzystać z </w:t>
      </w:r>
      <w:r w:rsidR="006F5449">
        <w:rPr>
          <w:rFonts w:cstheme="minorHAnsi"/>
          <w:bCs/>
        </w:rPr>
        <w:t>różnorodnej oferty</w:t>
      </w:r>
      <w:r w:rsidR="00D6281D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Niektóre banki mają </w:t>
      </w:r>
      <w:r w:rsidR="001B1F8C">
        <w:rPr>
          <w:rFonts w:cstheme="minorHAnsi"/>
          <w:bCs/>
        </w:rPr>
        <w:t>korzystniejszą dla nas</w:t>
      </w:r>
      <w:r>
        <w:rPr>
          <w:rFonts w:cstheme="minorHAnsi"/>
          <w:bCs/>
        </w:rPr>
        <w:t xml:space="preserve"> ofertę kredytową, inne mają szerszą sieć bankomatów, a jeszcze inne specjalizują się w usługach dodatkowych. Posiadanie kont</w:t>
      </w:r>
      <w:r w:rsidR="006F5449">
        <w:rPr>
          <w:rFonts w:cstheme="minorHAnsi"/>
          <w:bCs/>
        </w:rPr>
        <w:t xml:space="preserve"> w kilku bankach pozwala też korzystać z atrakcyjnych promocji w każdym z nich. </w:t>
      </w:r>
      <w:r w:rsidR="001B1F8C">
        <w:rPr>
          <w:rFonts w:cstheme="minorHAnsi"/>
          <w:bCs/>
        </w:rPr>
        <w:t>N</w:t>
      </w:r>
      <w:r w:rsidR="006F5449">
        <w:rPr>
          <w:rFonts w:cstheme="minorHAnsi"/>
          <w:bCs/>
        </w:rPr>
        <w:t xml:space="preserve">awet otwierając lokaty w jednym banku warto założyć kilka mniejszych zamiast jednej większej. Jeśli pojawią się nieoczekiwane wydatki, nie będzie potrzeby zerwania wszystkich lokat i utraty </w:t>
      </w:r>
      <w:r w:rsidR="007B4D38">
        <w:rPr>
          <w:rFonts w:cstheme="minorHAnsi"/>
          <w:bCs/>
        </w:rPr>
        <w:t>całości</w:t>
      </w:r>
      <w:r w:rsidR="006F5449">
        <w:rPr>
          <w:rFonts w:cstheme="minorHAnsi"/>
          <w:bCs/>
        </w:rPr>
        <w:t xml:space="preserve"> wypracowanych odsetek. </w:t>
      </w:r>
    </w:p>
    <w:p w14:paraId="0DD6FC9B" w14:textId="37BB20F9" w:rsidR="00900E45" w:rsidRDefault="006F5449" w:rsidP="00175A47">
      <w:r>
        <w:t xml:space="preserve">Dywersyfikacja opłaca się nie tylko w finansach osobistych, ale również w sferze zarządzania przedsiębiorstwem, a nawet całym państwem. W przypadku prowadzenia biznesu warto kupować surowce od różnych dostawców, a sprzedawać swoje produkty czy usługi na różnych rynkach. </w:t>
      </w:r>
      <w:r w:rsidR="001B1F8C">
        <w:t>Współpraca z</w:t>
      </w:r>
      <w:r>
        <w:t xml:space="preserve"> jedn</w:t>
      </w:r>
      <w:r w:rsidR="001B1F8C">
        <w:t>ym</w:t>
      </w:r>
      <w:r>
        <w:t xml:space="preserve"> dostawc</w:t>
      </w:r>
      <w:r w:rsidR="001B1F8C">
        <w:t>ą</w:t>
      </w:r>
      <w:r>
        <w:t xml:space="preserve"> czy odbiorc</w:t>
      </w:r>
      <w:r w:rsidR="001B1F8C">
        <w:t>ą</w:t>
      </w:r>
      <w:r>
        <w:t xml:space="preserve"> może </w:t>
      </w:r>
      <w:r w:rsidR="00007841">
        <w:t>być dla firmy niekorzyst</w:t>
      </w:r>
      <w:r w:rsidR="007B4D38">
        <w:t>na</w:t>
      </w:r>
      <w:r>
        <w:t>. Ostatnie miesiące przekonują nas również, jak ważne dla bezpieczeństwa państwa jest zróżnicowanie źródeł energii. Jak widać dywersyfikacja ma wiele zalet, dlatego warto z niej korzystać, zaczynając od swoich oszczędności.</w:t>
      </w:r>
    </w:p>
    <w:p w14:paraId="4302FD75" w14:textId="64C2420D" w:rsidR="002E790A" w:rsidRDefault="002E790A" w:rsidP="00175A47"/>
    <w:p w14:paraId="67465E62" w14:textId="6AB9DC8C" w:rsidR="002E790A" w:rsidRPr="00B70AC9" w:rsidRDefault="002E790A" w:rsidP="00175A47">
      <w:pPr>
        <w:jc w:val="center"/>
        <w:rPr>
          <w:i/>
          <w:iCs/>
        </w:rPr>
      </w:pPr>
      <w:r w:rsidRPr="00B70AC9">
        <w:rPr>
          <w:i/>
          <w:iCs/>
        </w:rPr>
        <w:t>Artykuł powstał w ramach projektu edukacyjnego EduAkcja.</w:t>
      </w:r>
    </w:p>
    <w:p w14:paraId="5A110290" w14:textId="37B8ADCD" w:rsidR="002E790A" w:rsidRPr="00B70AC9" w:rsidRDefault="002E790A" w:rsidP="00175A47">
      <w:pPr>
        <w:jc w:val="center"/>
        <w:rPr>
          <w:i/>
          <w:iCs/>
        </w:rPr>
      </w:pPr>
      <w:r w:rsidRPr="00B70AC9">
        <w:rPr>
          <w:i/>
          <w:iCs/>
        </w:rPr>
        <w:t xml:space="preserve">Więcej o projekcie na </w:t>
      </w:r>
      <w:hyperlink r:id="rId7" w:history="1">
        <w:r w:rsidRPr="00B70AC9">
          <w:rPr>
            <w:rStyle w:val="Hipercze"/>
            <w:i/>
            <w:iCs/>
          </w:rPr>
          <w:t>www.edu-akcja.org</w:t>
        </w:r>
      </w:hyperlink>
    </w:p>
    <w:sectPr w:rsidR="002E790A" w:rsidRPr="00B70A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7010" w14:textId="77777777" w:rsidR="00FD47B5" w:rsidRDefault="00FD47B5" w:rsidP="005A523D">
      <w:pPr>
        <w:spacing w:after="0" w:line="240" w:lineRule="auto"/>
      </w:pPr>
      <w:r>
        <w:separator/>
      </w:r>
    </w:p>
  </w:endnote>
  <w:endnote w:type="continuationSeparator" w:id="0">
    <w:p w14:paraId="3B479CBE" w14:textId="77777777" w:rsidR="00FD47B5" w:rsidRDefault="00FD47B5" w:rsidP="005A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0910" w14:textId="77777777" w:rsidR="00FD47B5" w:rsidRDefault="00FD47B5" w:rsidP="005A523D">
      <w:pPr>
        <w:spacing w:after="0" w:line="240" w:lineRule="auto"/>
      </w:pPr>
      <w:r>
        <w:separator/>
      </w:r>
    </w:p>
  </w:footnote>
  <w:footnote w:type="continuationSeparator" w:id="0">
    <w:p w14:paraId="184831D9" w14:textId="77777777" w:rsidR="00FD47B5" w:rsidRDefault="00FD47B5" w:rsidP="005A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BC95" w14:textId="6AF0AB28" w:rsidR="00A52593" w:rsidRDefault="00A52593">
    <w:pPr>
      <w:pStyle w:val="Nagwek"/>
    </w:pPr>
    <w:r>
      <w:t xml:space="preserve">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AC76625" wp14:editId="356413D1">
          <wp:extent cx="1328420" cy="664210"/>
          <wp:effectExtent l="0" t="0" r="5080" b="2540"/>
          <wp:docPr id="1" name="Obraz 1" descr="https://bakcyl.wib.org.pl/wp-content/uploads/2022/08/projekty-partnerskie-eduakcja-01-640x320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akcyl.wib.org.pl/wp-content/uploads/2022/08/projekty-partnerskie-eduakcja-01-640x320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D1C8F" w14:textId="77777777" w:rsidR="00A52593" w:rsidRDefault="00A52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4CD2"/>
    <w:multiLevelType w:val="hybridMultilevel"/>
    <w:tmpl w:val="E13409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07016"/>
    <w:multiLevelType w:val="hybridMultilevel"/>
    <w:tmpl w:val="7E9ED2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A06270C">
      <w:start w:val="1"/>
      <w:numFmt w:val="decimal"/>
      <w:lvlText w:val="%2."/>
      <w:lvlJc w:val="left"/>
      <w:pPr>
        <w:ind w:left="1500" w:hanging="360"/>
      </w:pPr>
      <w:rPr>
        <w:b w:val="0"/>
        <w:bCs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E1724B"/>
    <w:multiLevelType w:val="hybridMultilevel"/>
    <w:tmpl w:val="D6505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5F1B"/>
    <w:multiLevelType w:val="hybridMultilevel"/>
    <w:tmpl w:val="7E4EE94E"/>
    <w:lvl w:ilvl="0" w:tplc="3FD2E2F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7907540">
    <w:abstractNumId w:val="2"/>
  </w:num>
  <w:num w:numId="2" w16cid:durableId="963465885">
    <w:abstractNumId w:val="0"/>
  </w:num>
  <w:num w:numId="3" w16cid:durableId="1408382338">
    <w:abstractNumId w:val="3"/>
  </w:num>
  <w:num w:numId="4" w16cid:durableId="78316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D2"/>
    <w:rsid w:val="00007841"/>
    <w:rsid w:val="000568C4"/>
    <w:rsid w:val="00131924"/>
    <w:rsid w:val="00175A47"/>
    <w:rsid w:val="001B1F8C"/>
    <w:rsid w:val="00276EC4"/>
    <w:rsid w:val="002A4CCA"/>
    <w:rsid w:val="002E790A"/>
    <w:rsid w:val="004F2314"/>
    <w:rsid w:val="00526F35"/>
    <w:rsid w:val="00553A9D"/>
    <w:rsid w:val="005A523D"/>
    <w:rsid w:val="005B6A50"/>
    <w:rsid w:val="00643D7E"/>
    <w:rsid w:val="00656DE3"/>
    <w:rsid w:val="00665437"/>
    <w:rsid w:val="006F5449"/>
    <w:rsid w:val="007B4D38"/>
    <w:rsid w:val="00835D19"/>
    <w:rsid w:val="00900E45"/>
    <w:rsid w:val="00A51B9E"/>
    <w:rsid w:val="00A52593"/>
    <w:rsid w:val="00AD01D2"/>
    <w:rsid w:val="00B17017"/>
    <w:rsid w:val="00B70AC9"/>
    <w:rsid w:val="00D6281D"/>
    <w:rsid w:val="00E03135"/>
    <w:rsid w:val="00F40835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2E9F"/>
  <w15:chartTrackingRefBased/>
  <w15:docId w15:val="{42B92FE9-E7A3-443F-A97F-2A12249E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1D2"/>
    <w:pPr>
      <w:ind w:left="720"/>
      <w:contextualSpacing/>
    </w:pPr>
  </w:style>
  <w:style w:type="paragraph" w:styleId="Poprawka">
    <w:name w:val="Revision"/>
    <w:hidden/>
    <w:uiPriority w:val="99"/>
    <w:semiHidden/>
    <w:rsid w:val="00E0313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2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2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593"/>
  </w:style>
  <w:style w:type="paragraph" w:styleId="Stopka">
    <w:name w:val="footer"/>
    <w:basedOn w:val="Normalny"/>
    <w:link w:val="StopkaZnak"/>
    <w:uiPriority w:val="99"/>
    <w:unhideWhenUsed/>
    <w:rsid w:val="00A5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593"/>
  </w:style>
  <w:style w:type="paragraph" w:styleId="Tekstdymka">
    <w:name w:val="Balloon Text"/>
    <w:basedOn w:val="Normalny"/>
    <w:link w:val="TekstdymkaZnak"/>
    <w:uiPriority w:val="99"/>
    <w:semiHidden/>
    <w:unhideWhenUsed/>
    <w:rsid w:val="00A5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9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7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-akc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Ostafińska</cp:lastModifiedBy>
  <cp:revision>7</cp:revision>
  <dcterms:created xsi:type="dcterms:W3CDTF">2022-09-13T01:19:00Z</dcterms:created>
  <dcterms:modified xsi:type="dcterms:W3CDTF">2022-09-26T10:26:00Z</dcterms:modified>
</cp:coreProperties>
</file>