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FF58" w14:textId="62FE5B91" w:rsidR="00D52AD8" w:rsidRDefault="00D52AD8" w:rsidP="00D52AD8">
      <w:pPr>
        <w:pStyle w:val="NormalnyWeb"/>
        <w:shd w:val="clear" w:color="auto" w:fill="FFFFFF"/>
        <w:spacing w:after="160" w:afterAutospacing="0" w:line="205" w:lineRule="atLeast"/>
        <w:jc w:val="right"/>
        <w:rPr>
          <w:b/>
          <w:color w:val="222222"/>
        </w:rPr>
      </w:pPr>
      <w:r>
        <w:rPr>
          <w:noProof/>
        </w:rPr>
        <w:drawing>
          <wp:inline distT="0" distB="0" distL="0" distR="0" wp14:anchorId="530BBD24" wp14:editId="0463E466">
            <wp:extent cx="1350010" cy="412750"/>
            <wp:effectExtent l="0" t="0" r="2540" b="6350"/>
            <wp:docPr id="9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FC6B" w14:textId="23DC7CD0" w:rsidR="00CB5143" w:rsidRPr="00851628" w:rsidRDefault="00BE0D21" w:rsidP="00851628">
      <w:pPr>
        <w:pStyle w:val="NormalnyWeb"/>
        <w:shd w:val="clear" w:color="auto" w:fill="FFFFFF"/>
        <w:spacing w:after="160" w:afterAutospacing="0" w:line="205" w:lineRule="atLeast"/>
        <w:jc w:val="center"/>
        <w:rPr>
          <w:b/>
          <w:color w:val="222222"/>
        </w:rPr>
      </w:pPr>
      <w:r w:rsidRPr="00A3226C">
        <w:rPr>
          <w:b/>
          <w:color w:val="222222"/>
        </w:rPr>
        <w:t>Dlaczego warto oszczędzać długoterminowo</w:t>
      </w:r>
      <w:r w:rsidR="00CB5143" w:rsidRPr="00A3226C">
        <w:rPr>
          <w:b/>
          <w:color w:val="222222"/>
        </w:rPr>
        <w:t>?</w:t>
      </w:r>
    </w:p>
    <w:p w14:paraId="4FB20F3B" w14:textId="2F7F0120" w:rsidR="00BE0D21" w:rsidRPr="00FE32F0" w:rsidRDefault="00BE0D21" w:rsidP="003B3A7D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FE32F0">
        <w:rPr>
          <w:color w:val="222222"/>
        </w:rPr>
        <w:t xml:space="preserve">O pieniądzach często myślimy w kategoriach „od pierwszego do pierwszego”. </w:t>
      </w:r>
      <w:r w:rsidR="00CB5143">
        <w:rPr>
          <w:color w:val="222222"/>
        </w:rPr>
        <w:t>Je</w:t>
      </w:r>
      <w:r w:rsidRPr="00FE32F0">
        <w:rPr>
          <w:color w:val="222222"/>
        </w:rPr>
        <w:t xml:space="preserve">śli </w:t>
      </w:r>
      <w:r w:rsidR="00CB5143">
        <w:rPr>
          <w:color w:val="222222"/>
        </w:rPr>
        <w:t>planujemy</w:t>
      </w:r>
      <w:r w:rsidRPr="00FE32F0">
        <w:rPr>
          <w:color w:val="222222"/>
        </w:rPr>
        <w:t xml:space="preserve"> </w:t>
      </w:r>
      <w:r w:rsidR="00CB5143">
        <w:rPr>
          <w:color w:val="222222"/>
        </w:rPr>
        <w:t>zbudować</w:t>
      </w:r>
      <w:r w:rsidRPr="00FE32F0">
        <w:rPr>
          <w:color w:val="222222"/>
        </w:rPr>
        <w:t xml:space="preserve"> bezpieczeństw</w:t>
      </w:r>
      <w:r w:rsidR="00CB5143">
        <w:rPr>
          <w:color w:val="222222"/>
        </w:rPr>
        <w:t>o</w:t>
      </w:r>
      <w:r w:rsidRPr="00FE32F0">
        <w:rPr>
          <w:color w:val="222222"/>
        </w:rPr>
        <w:t xml:space="preserve"> finansow</w:t>
      </w:r>
      <w:r w:rsidR="00CB5143">
        <w:rPr>
          <w:color w:val="222222"/>
        </w:rPr>
        <w:t>e,</w:t>
      </w:r>
      <w:r w:rsidRPr="00FE32F0">
        <w:rPr>
          <w:color w:val="222222"/>
        </w:rPr>
        <w:t xml:space="preserve"> lepiej</w:t>
      </w:r>
      <w:r w:rsidR="00CB5143">
        <w:rPr>
          <w:color w:val="222222"/>
        </w:rPr>
        <w:t xml:space="preserve"> podejść</w:t>
      </w:r>
      <w:r w:rsidRPr="00FE32F0">
        <w:rPr>
          <w:color w:val="222222"/>
        </w:rPr>
        <w:t xml:space="preserve"> do finansów osobistych w kategoriach długoterminowych i zaplanować oszczędzanie na lata.</w:t>
      </w:r>
    </w:p>
    <w:p w14:paraId="7CFF2FBC" w14:textId="56C90CD0" w:rsidR="00BE0D21" w:rsidRPr="00FE32F0" w:rsidRDefault="00CB5143" w:rsidP="003B3A7D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>
        <w:rPr>
          <w:color w:val="222222"/>
        </w:rPr>
        <w:t>„</w:t>
      </w:r>
      <w:r w:rsidR="00BE0D21" w:rsidRPr="00FE32F0">
        <w:rPr>
          <w:color w:val="222222"/>
        </w:rPr>
        <w:t>Czas to pieniądz</w:t>
      </w:r>
      <w:r>
        <w:rPr>
          <w:color w:val="222222"/>
        </w:rPr>
        <w:t>”</w:t>
      </w:r>
      <w:r w:rsidR="005C3EEC">
        <w:rPr>
          <w:color w:val="222222"/>
        </w:rPr>
        <w:t xml:space="preserve"> </w:t>
      </w:r>
      <w:r w:rsidR="000676A4">
        <w:rPr>
          <w:color w:val="222222"/>
        </w:rPr>
        <w:t>–</w:t>
      </w:r>
      <w:r w:rsidR="00BE0D21" w:rsidRPr="00FE32F0">
        <w:rPr>
          <w:color w:val="222222"/>
        </w:rPr>
        <w:t xml:space="preserve"> mówi popularne </w:t>
      </w:r>
      <w:r>
        <w:rPr>
          <w:color w:val="222222"/>
        </w:rPr>
        <w:t>przysłowie</w:t>
      </w:r>
      <w:r w:rsidR="00BE0D21" w:rsidRPr="00FE32F0">
        <w:rPr>
          <w:color w:val="222222"/>
        </w:rPr>
        <w:t xml:space="preserve">. Warto pamiętać o tym, gdy myślimy o </w:t>
      </w:r>
      <w:r>
        <w:rPr>
          <w:color w:val="222222"/>
        </w:rPr>
        <w:t xml:space="preserve">finansach </w:t>
      </w:r>
      <w:r w:rsidR="00BE0D21" w:rsidRPr="00FE32F0">
        <w:rPr>
          <w:color w:val="222222"/>
        </w:rPr>
        <w:t xml:space="preserve">osobistych. Choć może się wydawać, że </w:t>
      </w:r>
      <w:r>
        <w:rPr>
          <w:color w:val="222222"/>
        </w:rPr>
        <w:t xml:space="preserve">zarabiamy </w:t>
      </w:r>
      <w:r w:rsidR="00BE0D21" w:rsidRPr="00FE32F0">
        <w:rPr>
          <w:color w:val="222222"/>
        </w:rPr>
        <w:t xml:space="preserve">za mało by oszczędzać, to </w:t>
      </w:r>
      <w:r w:rsidR="00BE0D21" w:rsidRPr="00BE0D21">
        <w:rPr>
          <w:b/>
          <w:bCs/>
          <w:color w:val="222222"/>
        </w:rPr>
        <w:t>nawet niewielkie kwoty odkładane regularnie mogą z biegiem czasu zamienić się w pokaźny kapitał.</w:t>
      </w:r>
      <w:r w:rsidR="00BE0D21" w:rsidRPr="00FE32F0">
        <w:rPr>
          <w:color w:val="222222"/>
        </w:rPr>
        <w:t xml:space="preserve"> Dlatego oszczędzanie warto zacząć jak najszybciej. Najlepiej od dziś.</w:t>
      </w:r>
    </w:p>
    <w:p w14:paraId="64D72F50" w14:textId="79FD6CCA" w:rsidR="00BE0D21" w:rsidRPr="00FE32F0" w:rsidRDefault="00BE0D21" w:rsidP="003B3A7D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FE32F0">
        <w:rPr>
          <w:color w:val="222222"/>
        </w:rPr>
        <w:t xml:space="preserve">Dlaczego kwestia czasu ma kluczowe znaczenie podczas oszczędzania? </w:t>
      </w:r>
      <w:r w:rsidR="00CB5143">
        <w:rPr>
          <w:color w:val="222222"/>
        </w:rPr>
        <w:t>S</w:t>
      </w:r>
      <w:r w:rsidRPr="00FE32F0">
        <w:rPr>
          <w:color w:val="222222"/>
        </w:rPr>
        <w:t>ystematycznie odkładając pieniądze</w:t>
      </w:r>
      <w:r w:rsidR="003E1AD7">
        <w:rPr>
          <w:color w:val="222222"/>
        </w:rPr>
        <w:t>,</w:t>
      </w:r>
      <w:r w:rsidRPr="00FE32F0">
        <w:rPr>
          <w:color w:val="222222"/>
        </w:rPr>
        <w:t xml:space="preserve"> gromadzimy coraz większe środki. </w:t>
      </w:r>
      <w:r w:rsidR="00F53666">
        <w:rPr>
          <w:color w:val="222222"/>
        </w:rPr>
        <w:t xml:space="preserve">Możemy dzięki temu zebrać kapitał, na wkład własny do kredytu na wymarzone mieszkanie, pieniądze na edukację dzieci czy </w:t>
      </w:r>
      <w:r w:rsidR="006B78AB">
        <w:rPr>
          <w:color w:val="222222"/>
        </w:rPr>
        <w:t>dodatkowe środki finansowe, które będziemy mogli wykorzystać na jesień życia.</w:t>
      </w:r>
      <w:r w:rsidR="00F53666">
        <w:rPr>
          <w:color w:val="222222"/>
        </w:rPr>
        <w:t xml:space="preserve"> Duże</w:t>
      </w:r>
      <w:r w:rsidRPr="00FE32F0">
        <w:rPr>
          <w:color w:val="222222"/>
        </w:rPr>
        <w:t xml:space="preserve"> znaczeni</w:t>
      </w:r>
      <w:r w:rsidR="000676A4">
        <w:rPr>
          <w:color w:val="222222"/>
        </w:rPr>
        <w:t>e</w:t>
      </w:r>
      <w:r w:rsidRPr="00FE32F0">
        <w:rPr>
          <w:color w:val="222222"/>
        </w:rPr>
        <w:t xml:space="preserve"> ma również </w:t>
      </w:r>
      <w:r w:rsidRPr="00BE0D21">
        <w:rPr>
          <w:b/>
          <w:bCs/>
          <w:color w:val="222222"/>
        </w:rPr>
        <w:t>działanie tzw. procentu składanego</w:t>
      </w:r>
      <w:r w:rsidR="005C42F6">
        <w:rPr>
          <w:color w:val="222222"/>
        </w:rPr>
        <w:t xml:space="preserve"> – zysk (odsetki), który zostaje wypracowany w danym okresie (np. miesiąc, rok), doliczany jest do kapitału</w:t>
      </w:r>
      <w:r w:rsidR="00CD7C07">
        <w:rPr>
          <w:color w:val="222222"/>
        </w:rPr>
        <w:t>.</w:t>
      </w:r>
      <w:r w:rsidRPr="00FE32F0">
        <w:rPr>
          <w:color w:val="222222"/>
        </w:rPr>
        <w:t xml:space="preserve"> </w:t>
      </w:r>
      <w:r w:rsidR="00681AB5">
        <w:rPr>
          <w:color w:val="222222"/>
        </w:rPr>
        <w:t>W</w:t>
      </w:r>
      <w:r w:rsidRPr="00FE32F0">
        <w:rPr>
          <w:color w:val="222222"/>
        </w:rPr>
        <w:t xml:space="preserve"> następnym </w:t>
      </w:r>
      <w:r w:rsidR="00681AB5">
        <w:rPr>
          <w:color w:val="222222"/>
        </w:rPr>
        <w:t>okresie, już</w:t>
      </w:r>
      <w:r w:rsidRPr="00FE32F0">
        <w:rPr>
          <w:color w:val="222222"/>
        </w:rPr>
        <w:t xml:space="preserve"> od </w:t>
      </w:r>
      <w:r w:rsidR="00681AB5">
        <w:rPr>
          <w:color w:val="222222"/>
        </w:rPr>
        <w:t>powiększonego kapitału</w:t>
      </w:r>
      <w:r w:rsidR="006B78AB">
        <w:rPr>
          <w:color w:val="222222"/>
        </w:rPr>
        <w:t>,</w:t>
      </w:r>
      <w:r w:rsidR="00681AB5">
        <w:rPr>
          <w:color w:val="222222"/>
        </w:rPr>
        <w:t xml:space="preserve"> ponownie</w:t>
      </w:r>
      <w:r w:rsidRPr="00FE32F0">
        <w:rPr>
          <w:color w:val="222222"/>
        </w:rPr>
        <w:t xml:space="preserve"> nalicza</w:t>
      </w:r>
      <w:r w:rsidR="00681AB5">
        <w:rPr>
          <w:color w:val="222222"/>
        </w:rPr>
        <w:t>ne</w:t>
      </w:r>
      <w:r w:rsidRPr="00FE32F0">
        <w:rPr>
          <w:color w:val="222222"/>
        </w:rPr>
        <w:t xml:space="preserve"> s</w:t>
      </w:r>
      <w:r w:rsidR="00681AB5">
        <w:rPr>
          <w:color w:val="222222"/>
        </w:rPr>
        <w:t>ą</w:t>
      </w:r>
      <w:r w:rsidRPr="00FE32F0">
        <w:rPr>
          <w:color w:val="222222"/>
        </w:rPr>
        <w:t xml:space="preserve"> odsetki. To właśnie dlatego wczesne rozpoczęcie oszczędzania przynosi duże korzyści</w:t>
      </w:r>
      <w:r w:rsidR="00A3226C">
        <w:rPr>
          <w:color w:val="222222"/>
        </w:rPr>
        <w:t>. S</w:t>
      </w:r>
      <w:r w:rsidR="00681AB5">
        <w:rPr>
          <w:color w:val="222222"/>
        </w:rPr>
        <w:t>am Albert Einstein powiedział, że „największym wynalazkiem ludzkości jest procent składany”</w:t>
      </w:r>
      <w:r w:rsidR="00CD7C07">
        <w:rPr>
          <w:color w:val="222222"/>
        </w:rPr>
        <w:t>.</w:t>
      </w:r>
    </w:p>
    <w:p w14:paraId="2E3EFF2F" w14:textId="741346D7" w:rsidR="00BE0D21" w:rsidRDefault="00BE0D21" w:rsidP="003B3A7D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FE32F0">
        <w:rPr>
          <w:color w:val="222222"/>
        </w:rPr>
        <w:t>Podejście długoterminowe sprawdza się</w:t>
      </w:r>
      <w:r w:rsidR="007A5EB5">
        <w:rPr>
          <w:color w:val="222222"/>
        </w:rPr>
        <w:t xml:space="preserve"> zarówno w przypadku oszczędzania na lokacie bankowej, jak </w:t>
      </w:r>
      <w:r w:rsidRPr="00FE32F0">
        <w:rPr>
          <w:color w:val="222222"/>
        </w:rPr>
        <w:t xml:space="preserve"> również w przypadku</w:t>
      </w:r>
      <w:r w:rsidR="007A5EB5">
        <w:rPr>
          <w:color w:val="222222"/>
        </w:rPr>
        <w:t xml:space="preserve"> inwestowania</w:t>
      </w:r>
      <w:r w:rsidRPr="00FE32F0">
        <w:rPr>
          <w:color w:val="222222"/>
        </w:rPr>
        <w:t xml:space="preserve"> </w:t>
      </w:r>
      <w:r w:rsidR="00681AB5">
        <w:rPr>
          <w:color w:val="222222"/>
        </w:rPr>
        <w:t xml:space="preserve">na giełdzie. </w:t>
      </w:r>
      <w:r w:rsidR="007A5EB5">
        <w:rPr>
          <w:color w:val="222222"/>
        </w:rPr>
        <w:t xml:space="preserve">Dzięki m.in. efektowi procentu składanego, </w:t>
      </w:r>
      <w:r w:rsidR="007A5EB5">
        <w:rPr>
          <w:b/>
          <w:bCs/>
          <w:color w:val="222222"/>
        </w:rPr>
        <w:t>w</w:t>
      </w:r>
      <w:r w:rsidRPr="00BE0D21">
        <w:rPr>
          <w:b/>
          <w:bCs/>
          <w:color w:val="222222"/>
        </w:rPr>
        <w:t xml:space="preserve"> perspektywie </w:t>
      </w:r>
      <w:r w:rsidR="000922B5" w:rsidRPr="00BE0D21">
        <w:rPr>
          <w:b/>
          <w:bCs/>
          <w:color w:val="222222"/>
        </w:rPr>
        <w:t>kilkudziesięciu</w:t>
      </w:r>
      <w:r w:rsidRPr="00BE0D21">
        <w:rPr>
          <w:b/>
          <w:bCs/>
          <w:color w:val="222222"/>
        </w:rPr>
        <w:t xml:space="preserve"> lat inwest</w:t>
      </w:r>
      <w:r w:rsidR="00540FCA">
        <w:rPr>
          <w:b/>
          <w:bCs/>
          <w:color w:val="222222"/>
        </w:rPr>
        <w:t xml:space="preserve">owanie na giełdzie </w:t>
      </w:r>
      <w:r w:rsidRPr="00BE0D21">
        <w:rPr>
          <w:b/>
          <w:bCs/>
          <w:color w:val="222222"/>
        </w:rPr>
        <w:t>daj</w:t>
      </w:r>
      <w:r w:rsidR="007A5EB5">
        <w:rPr>
          <w:b/>
          <w:bCs/>
          <w:color w:val="222222"/>
        </w:rPr>
        <w:t>e</w:t>
      </w:r>
      <w:r w:rsidRPr="00BE0D21">
        <w:rPr>
          <w:b/>
          <w:bCs/>
          <w:color w:val="222222"/>
        </w:rPr>
        <w:t xml:space="preserve"> duż</w:t>
      </w:r>
      <w:r w:rsidR="007A5EB5">
        <w:rPr>
          <w:b/>
          <w:bCs/>
          <w:color w:val="222222"/>
        </w:rPr>
        <w:t>ą</w:t>
      </w:r>
      <w:r w:rsidRPr="00BE0D21">
        <w:rPr>
          <w:b/>
          <w:bCs/>
          <w:color w:val="222222"/>
        </w:rPr>
        <w:t xml:space="preserve"> szans</w:t>
      </w:r>
      <w:r w:rsidR="000676A4">
        <w:rPr>
          <w:b/>
          <w:bCs/>
          <w:color w:val="222222"/>
        </w:rPr>
        <w:t>ę</w:t>
      </w:r>
      <w:r w:rsidRPr="00BE0D21">
        <w:rPr>
          <w:b/>
          <w:bCs/>
          <w:color w:val="222222"/>
        </w:rPr>
        <w:t xml:space="preserve"> na uzyskanie wysokich zysków, znacznie powyżej poziom</w:t>
      </w:r>
      <w:r w:rsidR="000922B5">
        <w:rPr>
          <w:b/>
          <w:bCs/>
          <w:color w:val="222222"/>
        </w:rPr>
        <w:t>u</w:t>
      </w:r>
      <w:r w:rsidRPr="00BE0D21">
        <w:rPr>
          <w:b/>
          <w:bCs/>
          <w:color w:val="222222"/>
        </w:rPr>
        <w:t xml:space="preserve"> inflacji.</w:t>
      </w:r>
      <w:r w:rsidRPr="00FE32F0">
        <w:rPr>
          <w:color w:val="222222"/>
        </w:rPr>
        <w:t xml:space="preserve"> </w:t>
      </w:r>
      <w:r w:rsidR="003262B8">
        <w:t xml:space="preserve">W krótkim okresie wzrosty i spadki </w:t>
      </w:r>
      <w:r w:rsidR="00E92CA4">
        <w:t xml:space="preserve">zysków </w:t>
      </w:r>
      <w:r w:rsidR="003262B8">
        <w:t>z inwestycji mogą przypominać podróż kolejką górską</w:t>
      </w:r>
      <w:r w:rsidR="003262B8">
        <w:rPr>
          <w:color w:val="222222"/>
        </w:rPr>
        <w:t xml:space="preserve"> </w:t>
      </w:r>
      <w:r w:rsidR="000676A4">
        <w:rPr>
          <w:color w:val="222222"/>
        </w:rPr>
        <w:t>–</w:t>
      </w:r>
      <w:r w:rsidR="003262B8">
        <w:rPr>
          <w:color w:val="222222"/>
        </w:rPr>
        <w:t xml:space="preserve"> </w:t>
      </w:r>
      <w:r w:rsidR="007A5EB5">
        <w:rPr>
          <w:color w:val="222222"/>
        </w:rPr>
        <w:t>g</w:t>
      </w:r>
      <w:r w:rsidRPr="00FE32F0">
        <w:rPr>
          <w:color w:val="222222"/>
        </w:rPr>
        <w:t>iełda charakteryzuje się</w:t>
      </w:r>
      <w:r w:rsidR="003E1AD7">
        <w:rPr>
          <w:color w:val="222222"/>
        </w:rPr>
        <w:t xml:space="preserve"> </w:t>
      </w:r>
      <w:r w:rsidRPr="00FE32F0">
        <w:rPr>
          <w:color w:val="222222"/>
        </w:rPr>
        <w:t>dużym poziomem zmienności</w:t>
      </w:r>
      <w:r w:rsidR="003262B8">
        <w:rPr>
          <w:color w:val="222222"/>
        </w:rPr>
        <w:t>.</w:t>
      </w:r>
      <w:r w:rsidRPr="00FE32F0">
        <w:rPr>
          <w:color w:val="222222"/>
        </w:rPr>
        <w:t xml:space="preserve"> Jeśli zainwestujemy pieniądze na giełdzie w długiej perspektywie</w:t>
      </w:r>
      <w:r w:rsidR="003E1AD7">
        <w:rPr>
          <w:color w:val="222222"/>
        </w:rPr>
        <w:t>,</w:t>
      </w:r>
      <w:r w:rsidRPr="00FE32F0">
        <w:rPr>
          <w:color w:val="222222"/>
        </w:rPr>
        <w:t xml:space="preserve"> zwiększamy szanse na osiągnięcie satysfakcjonujących zysków</w:t>
      </w:r>
      <w:r w:rsidR="003262B8">
        <w:rPr>
          <w:color w:val="222222"/>
        </w:rPr>
        <w:t xml:space="preserve"> – okresy bessy </w:t>
      </w:r>
      <w:r w:rsidR="00B40FED">
        <w:rPr>
          <w:color w:val="222222"/>
        </w:rPr>
        <w:t xml:space="preserve">czyli dużych spadków na giełdzie </w:t>
      </w:r>
      <w:r w:rsidR="003262B8">
        <w:rPr>
          <w:color w:val="222222"/>
        </w:rPr>
        <w:t xml:space="preserve">będą przeplatały się z okresami hossy, a więc wzrostów cen akcji. </w:t>
      </w:r>
    </w:p>
    <w:p w14:paraId="082CC179" w14:textId="1A2F343C" w:rsidR="005C3EEC" w:rsidRDefault="005C3EEC" w:rsidP="003B3A7D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>
        <w:rPr>
          <w:color w:val="222222"/>
        </w:rPr>
        <w:t>Potwierdzają to słowa Marka Dietla, prezesa Giełdy Papierów Wartościowych w Warszawie. – Sprawdziliśmy kiedyś, jak w dłuższej, 10-letniej perspektywie sprawdziłby się zakup ETF-u czy akcji spółki z indeksu WIG20. W historii warszawskiej giełdy tylko raz się zdarzyło, że po tych 10 latach otrzymalibyśmy mniej niż zainwestowaliśmy –</w:t>
      </w:r>
      <w:r w:rsidR="00E92CA4">
        <w:rPr>
          <w:color w:val="222222"/>
        </w:rPr>
        <w:t xml:space="preserve"> podkreśla</w:t>
      </w:r>
      <w:r>
        <w:rPr>
          <w:color w:val="222222"/>
        </w:rPr>
        <w:t xml:space="preserve"> prezes Dietl</w:t>
      </w:r>
      <w:r w:rsidR="00E92CA4">
        <w:rPr>
          <w:color w:val="222222"/>
        </w:rPr>
        <w:t>.- T</w:t>
      </w:r>
      <w:r>
        <w:rPr>
          <w:color w:val="222222"/>
        </w:rPr>
        <w:t>a wyjątkowa sytuacja dotyczyła zakupu akcji na szczycie hossy internetowej na początku XXI w. i sprzedaży na samym dołku kryzysu finansowego w 2009 r. I nawet wtedy</w:t>
      </w:r>
      <w:r w:rsidR="00CD7C07">
        <w:rPr>
          <w:color w:val="222222"/>
        </w:rPr>
        <w:t xml:space="preserve"> ta największa strata wyniosłaby 3 proc. Jeśli więc zainwestujemy długoterminowo i mamy zdywersyfikowany portfel, na giełdzie trudno stracić. Jeśli spojrzymy na nasz podstawowy indeks WIG, to w ciągu ostatnich 30 lat rósł on ok. 15 proc. rocznie – podsumował prezes </w:t>
      </w:r>
      <w:r w:rsidR="00E92CA4">
        <w:rPr>
          <w:color w:val="222222"/>
        </w:rPr>
        <w:t xml:space="preserve">Zarządu </w:t>
      </w:r>
      <w:r w:rsidR="00CD7C07">
        <w:rPr>
          <w:color w:val="222222"/>
        </w:rPr>
        <w:t>GPW.</w:t>
      </w:r>
    </w:p>
    <w:p w14:paraId="0C1664F8" w14:textId="3D2CCEE0" w:rsidR="00F53666" w:rsidRDefault="003720F3" w:rsidP="003B3A7D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>
        <w:rPr>
          <w:color w:val="222222"/>
        </w:rPr>
        <w:t>Pamiętajmy, że inwestowanie na giełdzie zawsze wiąże się z ryzykiem. Podejście długoterminowe pozwala je zmniejszyć, ale podstawą są umiejętności i wiedza o instrumentach finansowych. Edukację finansową również można potraktować jako inwestycję długoterminową, która w przyszłości</w:t>
      </w:r>
      <w:bookmarkStart w:id="0" w:name="_GoBack"/>
      <w:bookmarkEnd w:id="0"/>
      <w:r>
        <w:rPr>
          <w:color w:val="222222"/>
        </w:rPr>
        <w:t xml:space="preserve"> na pewno się opłaci.</w:t>
      </w:r>
    </w:p>
    <w:p w14:paraId="161ADE45" w14:textId="77777777" w:rsidR="003E1AD7" w:rsidRDefault="003E1AD7" w:rsidP="003E1AD7">
      <w:pPr>
        <w:pStyle w:val="NormalnyWeb"/>
        <w:shd w:val="clear" w:color="auto" w:fill="FFFFFF"/>
        <w:spacing w:after="160" w:afterAutospacing="0" w:line="205" w:lineRule="atLeast"/>
        <w:jc w:val="center"/>
        <w:rPr>
          <w:i/>
          <w:iCs/>
          <w:color w:val="222222"/>
        </w:rPr>
      </w:pPr>
      <w:r w:rsidRPr="003E1AD7">
        <w:rPr>
          <w:i/>
          <w:iCs/>
          <w:color w:val="222222"/>
        </w:rPr>
        <w:t xml:space="preserve">Artykuł powstał w ramach projektu edukacyjnego EduAkcja. </w:t>
      </w:r>
    </w:p>
    <w:p w14:paraId="1D6B8E85" w14:textId="1F24542B" w:rsidR="00F53666" w:rsidRPr="00851628" w:rsidRDefault="003E1AD7" w:rsidP="00851628">
      <w:pPr>
        <w:pStyle w:val="NormalnyWeb"/>
        <w:shd w:val="clear" w:color="auto" w:fill="FFFFFF"/>
        <w:spacing w:after="160" w:afterAutospacing="0" w:line="205" w:lineRule="atLeast"/>
        <w:jc w:val="center"/>
        <w:rPr>
          <w:i/>
          <w:iCs/>
          <w:color w:val="222222"/>
        </w:rPr>
      </w:pPr>
      <w:r w:rsidRPr="003E1AD7">
        <w:rPr>
          <w:i/>
          <w:iCs/>
          <w:color w:val="222222"/>
        </w:rPr>
        <w:t xml:space="preserve">Więcej o projekcie na </w:t>
      </w:r>
      <w:hyperlink r:id="rId8" w:history="1">
        <w:r w:rsidRPr="003E1AD7">
          <w:rPr>
            <w:rStyle w:val="Hipercze"/>
            <w:i/>
            <w:iCs/>
          </w:rPr>
          <w:t>www.edu-akcja.org</w:t>
        </w:r>
      </w:hyperlink>
    </w:p>
    <w:sectPr w:rsidR="00F53666" w:rsidRPr="0085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04D78" w16cid:durableId="25B79760"/>
  <w16cid:commentId w16cid:paraId="43F9AF4E" w16cid:durableId="25B7C4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C27D" w14:textId="77777777" w:rsidR="004119B6" w:rsidRDefault="004119B6" w:rsidP="00E92CA4">
      <w:r>
        <w:separator/>
      </w:r>
    </w:p>
  </w:endnote>
  <w:endnote w:type="continuationSeparator" w:id="0">
    <w:p w14:paraId="6F20861F" w14:textId="77777777" w:rsidR="004119B6" w:rsidRDefault="004119B6" w:rsidP="00E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13CD" w14:textId="77777777" w:rsidR="004119B6" w:rsidRDefault="004119B6" w:rsidP="00E92CA4">
      <w:r>
        <w:separator/>
      </w:r>
    </w:p>
  </w:footnote>
  <w:footnote w:type="continuationSeparator" w:id="0">
    <w:p w14:paraId="5C2DA478" w14:textId="77777777" w:rsidR="004119B6" w:rsidRDefault="004119B6" w:rsidP="00E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21"/>
    <w:rsid w:val="000676A4"/>
    <w:rsid w:val="000922B5"/>
    <w:rsid w:val="003262B8"/>
    <w:rsid w:val="003720F3"/>
    <w:rsid w:val="003B3A7D"/>
    <w:rsid w:val="003E1AD7"/>
    <w:rsid w:val="004119B6"/>
    <w:rsid w:val="00540FCA"/>
    <w:rsid w:val="00571BDA"/>
    <w:rsid w:val="005C3EEC"/>
    <w:rsid w:val="005C42F6"/>
    <w:rsid w:val="00681AB5"/>
    <w:rsid w:val="006B78AB"/>
    <w:rsid w:val="007A5EB5"/>
    <w:rsid w:val="00851628"/>
    <w:rsid w:val="008B64E0"/>
    <w:rsid w:val="008E7DC3"/>
    <w:rsid w:val="0095678A"/>
    <w:rsid w:val="00A3226C"/>
    <w:rsid w:val="00B40FED"/>
    <w:rsid w:val="00BE0D21"/>
    <w:rsid w:val="00C03A2F"/>
    <w:rsid w:val="00CB5143"/>
    <w:rsid w:val="00CD7C07"/>
    <w:rsid w:val="00D52AD8"/>
    <w:rsid w:val="00DB0DA7"/>
    <w:rsid w:val="00E92CA4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1F1BF"/>
  <w15:chartTrackingRefBased/>
  <w15:docId w15:val="{C0F9299D-7484-4749-BFE9-40B5533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2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1AB5"/>
  </w:style>
  <w:style w:type="character" w:styleId="Hipercze">
    <w:name w:val="Hyperlink"/>
    <w:basedOn w:val="Domylnaczcionkaakapitu"/>
    <w:uiPriority w:val="99"/>
    <w:unhideWhenUsed/>
    <w:rsid w:val="003E1A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A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1AD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CA4"/>
  </w:style>
  <w:style w:type="paragraph" w:styleId="Stopka">
    <w:name w:val="footer"/>
    <w:basedOn w:val="Normalny"/>
    <w:link w:val="StopkaZnak"/>
    <w:uiPriority w:val="99"/>
    <w:unhideWhenUsed/>
    <w:rsid w:val="00E92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kc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263484a-4811-448b-b935-4ccfcdbbdeea" origin="userSelected">
  <element uid="697367d0-0d11-4d4e-80a2-256155fcabe6" value=""/>
  <element uid="d9569de3-fae5-4e2d-a5c1-e0a5a3c84173" value=""/>
</sisl>
</file>

<file path=customXml/itemProps1.xml><?xml version="1.0" encoding="utf-8"?>
<ds:datastoreItem xmlns:ds="http://schemas.openxmlformats.org/officeDocument/2006/customXml" ds:itemID="{594D4576-F9D2-4154-8913-17ABF1E300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Bolanowski</dc:creator>
  <cp:keywords>#Kategoria: [Wewnętrzne/Nie zawiera danych osobowych]#</cp:keywords>
  <dc:description/>
  <cp:lastModifiedBy>Monika</cp:lastModifiedBy>
  <cp:revision>4</cp:revision>
  <cp:lastPrinted>2022-02-15T09:45:00Z</cp:lastPrinted>
  <dcterms:created xsi:type="dcterms:W3CDTF">2022-02-17T14:21:00Z</dcterms:created>
  <dcterms:modified xsi:type="dcterms:W3CDTF">2022-02-21T08:07:00Z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fbed7106-750e-41eb-975f-4ec67734dd1a</vt:lpwstr>
  </property>
  <property fmtid="{D5CDD505-2E9C-101B-9397-08002B2CF9AE}" pid="3" name="bjSaver">
    <vt:lpwstr>STxt7Q/iE3sGKXvAKzekshOLyC7AaquB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policy="9263484a-4811-448b-b935-4ccfcdbbdeea" origin="userSelected" xmlns="http://www.boldonj</vt:lpwstr>
  </property>
  <property fmtid="{D5CDD505-2E9C-101B-9397-08002B2CF9AE}" pid="5" name="bjDocumentLabelXML-0">
    <vt:lpwstr>ames.com/2008/01/sie/internal/label"&gt;&lt;element uid="697367d0-0d11-4d4e-80a2-256155fcabe6" value="" /&gt;&lt;element uid="d9569de3-fae5-4e2d-a5c1-e0a5a3c84173" value="" /&gt;&lt;/sisl&gt;</vt:lpwstr>
  </property>
  <property fmtid="{D5CDD505-2E9C-101B-9397-08002B2CF9AE}" pid="6" name="bjDocumentSecurityLabel">
    <vt:lpwstr>Kategoria: Wewnętrzne/Nie zawiera danych osobowych</vt:lpwstr>
  </property>
</Properties>
</file>