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DE553" w14:textId="039D6419" w:rsidR="002C5D7C" w:rsidRDefault="002C5D7C" w:rsidP="00E01728">
      <w:pPr>
        <w:spacing w:before="0" w:after="0"/>
        <w:rPr>
          <w:rFonts w:ascii="Segoe UI" w:eastAsia="Times New Roman" w:hAnsi="Segoe UI" w:cs="Segoe UI"/>
          <w:b/>
          <w:sz w:val="21"/>
          <w:szCs w:val="21"/>
          <w:lang w:eastAsia="pl-PL"/>
        </w:rPr>
      </w:pPr>
    </w:p>
    <w:p w14:paraId="220228DE" w14:textId="39AB82BD" w:rsidR="00E01728" w:rsidRPr="00472F2E" w:rsidRDefault="00E01728" w:rsidP="00191E0D">
      <w:pPr>
        <w:spacing w:before="0" w:after="0"/>
        <w:jc w:val="right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noProof/>
        </w:rPr>
        <w:drawing>
          <wp:inline distT="0" distB="0" distL="0" distR="0" wp14:anchorId="47E685F8" wp14:editId="71AE5335">
            <wp:extent cx="2000837" cy="685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41" cy="76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B0DE2" w14:textId="08844773" w:rsidR="009D4946" w:rsidRPr="0028357A" w:rsidRDefault="002C5D7C" w:rsidP="00E01728">
      <w:pPr>
        <w:spacing w:before="0" w:after="0"/>
        <w:rPr>
          <w:rFonts w:ascii="Segoe UI" w:eastAsia="Times New Roman" w:hAnsi="Segoe UI" w:cs="Segoe UI"/>
          <w:b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WIB zaprasza na </w:t>
      </w:r>
      <w:r w:rsidR="009D4946" w:rsidRPr="009D4946">
        <w:rPr>
          <w:rFonts w:ascii="Segoe UI" w:eastAsia="Times New Roman" w:hAnsi="Segoe UI" w:cs="Segoe UI"/>
          <w:b/>
          <w:sz w:val="21"/>
          <w:szCs w:val="21"/>
          <w:lang w:eastAsia="pl-PL"/>
        </w:rPr>
        <w:t>"Wirtualn</w:t>
      </w:r>
      <w:r w:rsidR="009D4946" w:rsidRPr="0028357A">
        <w:rPr>
          <w:rFonts w:ascii="Segoe UI" w:eastAsia="Times New Roman" w:hAnsi="Segoe UI" w:cs="Segoe UI"/>
          <w:b/>
          <w:sz w:val="21"/>
          <w:szCs w:val="21"/>
          <w:lang w:eastAsia="pl-PL"/>
        </w:rPr>
        <w:t>ą</w:t>
      </w:r>
      <w:r w:rsidR="009D4946" w:rsidRPr="009D4946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 wycieczk</w:t>
      </w:r>
      <w:r w:rsidR="009D4946" w:rsidRPr="0028357A">
        <w:rPr>
          <w:rFonts w:ascii="Segoe UI" w:eastAsia="Times New Roman" w:hAnsi="Segoe UI" w:cs="Segoe UI"/>
          <w:b/>
          <w:sz w:val="21"/>
          <w:szCs w:val="21"/>
          <w:lang w:eastAsia="pl-PL"/>
        </w:rPr>
        <w:t>ę</w:t>
      </w:r>
      <w:r w:rsidR="009D4946" w:rsidRPr="009D4946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 po świecie finansów"</w:t>
      </w:r>
    </w:p>
    <w:p w14:paraId="1D498677" w14:textId="77777777" w:rsidR="009D4946" w:rsidRDefault="009D4946" w:rsidP="00E01728">
      <w:pPr>
        <w:spacing w:before="0" w:after="0"/>
        <w:rPr>
          <w:rFonts w:ascii="Segoe UI" w:eastAsia="Times New Roman" w:hAnsi="Segoe UI" w:cs="Segoe UI"/>
          <w:sz w:val="21"/>
          <w:szCs w:val="21"/>
          <w:lang w:eastAsia="pl-PL"/>
        </w:rPr>
      </w:pPr>
    </w:p>
    <w:p w14:paraId="2BD371DA" w14:textId="7C885556" w:rsidR="002C5D7C" w:rsidRPr="002C5D7C" w:rsidRDefault="002C5D7C" w:rsidP="00E01728">
      <w:pPr>
        <w:spacing w:before="0" w:after="0"/>
        <w:rPr>
          <w:rFonts w:ascii="Segoe UI" w:eastAsia="Times New Roman" w:hAnsi="Segoe UI" w:cs="Segoe UI"/>
          <w:b/>
          <w:sz w:val="21"/>
          <w:szCs w:val="21"/>
          <w:lang w:eastAsia="pl-PL"/>
        </w:rPr>
      </w:pPr>
      <w:r w:rsidRPr="002C5D7C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Warszawski Instytut Bankowości zaprasza uczniów i szkoły z całej Polski do skorzystania z możliwości uczestnictwa w wirtualnej wycieczce po świecie finansów. Dzięki niej, bez wychodzenia z domu będzie można poznać najważniejsze instytucje dla sektora bankowego w Polsce. Inicjatywa realizowana w ramach Programu „Bankowcy dla Edukacji” jest jednocześnie jednym z </w:t>
      </w:r>
      <w:r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pierwszych </w:t>
      </w:r>
      <w:r w:rsidRPr="002C5D7C">
        <w:rPr>
          <w:rFonts w:ascii="Segoe UI" w:eastAsia="Times New Roman" w:hAnsi="Segoe UI" w:cs="Segoe UI"/>
          <w:b/>
          <w:sz w:val="21"/>
          <w:szCs w:val="21"/>
          <w:lang w:eastAsia="pl-PL"/>
        </w:rPr>
        <w:t>elementów działań jubileuszowych związanych z 5.</w:t>
      </w:r>
      <w:r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 rocznicą</w:t>
      </w:r>
      <w:r w:rsidRPr="002C5D7C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 </w:t>
      </w:r>
      <w:r>
        <w:rPr>
          <w:rFonts w:ascii="Segoe UI" w:eastAsia="Times New Roman" w:hAnsi="Segoe UI" w:cs="Segoe UI"/>
          <w:b/>
          <w:sz w:val="21"/>
          <w:szCs w:val="21"/>
          <w:lang w:eastAsia="pl-PL"/>
        </w:rPr>
        <w:t>u</w:t>
      </w:r>
      <w:r w:rsidRPr="002C5D7C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ruchomienia Programu, która przypada na 2021 rok. </w:t>
      </w:r>
    </w:p>
    <w:p w14:paraId="07276F98" w14:textId="77777777" w:rsidR="002C5D7C" w:rsidRDefault="002C5D7C" w:rsidP="00E01728">
      <w:pPr>
        <w:spacing w:before="0" w:after="0"/>
        <w:rPr>
          <w:rFonts w:ascii="Segoe UI" w:eastAsia="Times New Roman" w:hAnsi="Segoe UI" w:cs="Segoe UI"/>
          <w:sz w:val="21"/>
          <w:szCs w:val="21"/>
          <w:lang w:eastAsia="pl-PL"/>
        </w:rPr>
      </w:pPr>
    </w:p>
    <w:p w14:paraId="6F0310C0" w14:textId="1370CC21" w:rsidR="002C5D7C" w:rsidRDefault="009D4946" w:rsidP="00E01728">
      <w:pPr>
        <w:spacing w:before="0" w:after="0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9D4946">
        <w:rPr>
          <w:rFonts w:ascii="Segoe UI" w:eastAsia="Times New Roman" w:hAnsi="Segoe UI" w:cs="Segoe UI"/>
          <w:sz w:val="21"/>
          <w:szCs w:val="21"/>
          <w:lang w:eastAsia="pl-PL"/>
        </w:rPr>
        <w:t>Ministerstwo Finansów, Narodowy Bank Polski, Bankowy Fundusz Gwarancyjny, Krajow</w:t>
      </w:r>
      <w:r w:rsidR="00FF138B">
        <w:rPr>
          <w:rFonts w:ascii="Segoe UI" w:eastAsia="Times New Roman" w:hAnsi="Segoe UI" w:cs="Segoe UI"/>
          <w:sz w:val="21"/>
          <w:szCs w:val="21"/>
          <w:lang w:eastAsia="pl-PL"/>
        </w:rPr>
        <w:t>a</w:t>
      </w:r>
      <w:r w:rsidRPr="009D4946">
        <w:rPr>
          <w:rFonts w:ascii="Segoe UI" w:eastAsia="Times New Roman" w:hAnsi="Segoe UI" w:cs="Segoe UI"/>
          <w:sz w:val="21"/>
          <w:szCs w:val="21"/>
          <w:lang w:eastAsia="pl-PL"/>
        </w:rPr>
        <w:t xml:space="preserve"> Izb</w:t>
      </w:r>
      <w:r w:rsidR="00FF138B">
        <w:rPr>
          <w:rFonts w:ascii="Segoe UI" w:eastAsia="Times New Roman" w:hAnsi="Segoe UI" w:cs="Segoe UI"/>
          <w:sz w:val="21"/>
          <w:szCs w:val="21"/>
          <w:lang w:eastAsia="pl-PL"/>
        </w:rPr>
        <w:t>a</w:t>
      </w:r>
      <w:r w:rsidRPr="009D4946">
        <w:rPr>
          <w:rFonts w:ascii="Segoe UI" w:eastAsia="Times New Roman" w:hAnsi="Segoe UI" w:cs="Segoe UI"/>
          <w:sz w:val="21"/>
          <w:szCs w:val="21"/>
          <w:lang w:eastAsia="pl-PL"/>
        </w:rPr>
        <w:t xml:space="preserve"> Rozliczeniow</w:t>
      </w:r>
      <w:r w:rsidR="00FF138B">
        <w:rPr>
          <w:rFonts w:ascii="Segoe UI" w:eastAsia="Times New Roman" w:hAnsi="Segoe UI" w:cs="Segoe UI"/>
          <w:sz w:val="21"/>
          <w:szCs w:val="21"/>
          <w:lang w:eastAsia="pl-PL"/>
        </w:rPr>
        <w:t>a</w:t>
      </w:r>
      <w:r w:rsidRPr="009D4946">
        <w:rPr>
          <w:rFonts w:ascii="Segoe UI" w:eastAsia="Times New Roman" w:hAnsi="Segoe UI" w:cs="Segoe UI"/>
          <w:sz w:val="21"/>
          <w:szCs w:val="21"/>
          <w:lang w:eastAsia="pl-PL"/>
        </w:rPr>
        <w:t>, Biuro Informacji Kredytowej, Związek Banków Polskich oraz Bank Gospodarstwa Krajowego</w:t>
      </w:r>
      <w:r w:rsidR="00FF138B">
        <w:rPr>
          <w:rFonts w:ascii="Segoe UI" w:eastAsia="Times New Roman" w:hAnsi="Segoe UI" w:cs="Segoe UI"/>
          <w:sz w:val="21"/>
          <w:szCs w:val="21"/>
          <w:lang w:eastAsia="pl-PL"/>
        </w:rPr>
        <w:t xml:space="preserve"> to</w:t>
      </w:r>
      <w:r w:rsidR="002C5D7C">
        <w:rPr>
          <w:rFonts w:ascii="Segoe UI" w:eastAsia="Times New Roman" w:hAnsi="Segoe UI" w:cs="Segoe UI"/>
          <w:sz w:val="21"/>
          <w:szCs w:val="21"/>
          <w:lang w:eastAsia="pl-PL"/>
        </w:rPr>
        <w:t xml:space="preserve"> instytucje, których historię, zadania i rolę będzie można poznać bliżej dzięki uczestnictw</w:t>
      </w:r>
      <w:r w:rsidR="00477AF4">
        <w:rPr>
          <w:rFonts w:ascii="Segoe UI" w:eastAsia="Times New Roman" w:hAnsi="Segoe UI" w:cs="Segoe UI"/>
          <w:sz w:val="21"/>
          <w:szCs w:val="21"/>
          <w:lang w:eastAsia="pl-PL"/>
        </w:rPr>
        <w:t>u</w:t>
      </w:r>
      <w:r w:rsidR="002C5D7C">
        <w:rPr>
          <w:rFonts w:ascii="Segoe UI" w:eastAsia="Times New Roman" w:hAnsi="Segoe UI" w:cs="Segoe UI"/>
          <w:sz w:val="21"/>
          <w:szCs w:val="21"/>
          <w:lang w:eastAsia="pl-PL"/>
        </w:rPr>
        <w:t xml:space="preserve"> w inicjatywie WIB.</w:t>
      </w:r>
    </w:p>
    <w:p w14:paraId="4DA4C23B" w14:textId="77777777" w:rsidR="002C5D7C" w:rsidRDefault="002C5D7C" w:rsidP="00E01728">
      <w:pPr>
        <w:spacing w:before="0" w:after="0"/>
        <w:rPr>
          <w:rFonts w:ascii="Segoe UI" w:eastAsia="Times New Roman" w:hAnsi="Segoe UI" w:cs="Segoe UI"/>
          <w:sz w:val="21"/>
          <w:szCs w:val="21"/>
          <w:lang w:eastAsia="pl-PL"/>
        </w:rPr>
      </w:pPr>
    </w:p>
    <w:p w14:paraId="5B578EA7" w14:textId="112E4419" w:rsidR="000A6B4C" w:rsidRDefault="002C5D7C" w:rsidP="00E01728">
      <w:pPr>
        <w:spacing w:before="0" w:after="0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Ponadto, korzystając z Wirtualnej Wycieczki WIB, będzie można zapoznać się z podstawami nt. finansów, w tym historii </w:t>
      </w:r>
      <w:r w:rsidR="009D4946" w:rsidRPr="009D4946">
        <w:rPr>
          <w:rFonts w:ascii="Segoe UI" w:eastAsia="Times New Roman" w:hAnsi="Segoe UI" w:cs="Segoe UI"/>
          <w:sz w:val="21"/>
          <w:szCs w:val="21"/>
          <w:lang w:eastAsia="pl-PL"/>
        </w:rPr>
        <w:t>pieniądza, domow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>ego budżetu, płatności bezgotówkowych, bankowości internetowej i mobilnej oraz bezpieczeństwa</w:t>
      </w:r>
      <w:r w:rsidR="009D4946" w:rsidRPr="009D4946">
        <w:rPr>
          <w:rFonts w:ascii="Segoe UI" w:eastAsia="Times New Roman" w:hAnsi="Segoe UI" w:cs="Segoe UI"/>
          <w:sz w:val="21"/>
          <w:szCs w:val="21"/>
          <w:lang w:eastAsia="pl-PL"/>
        </w:rPr>
        <w:t xml:space="preserve"> korzystania z usług finansowych. </w:t>
      </w:r>
    </w:p>
    <w:p w14:paraId="6549C44D" w14:textId="77777777" w:rsidR="000A6B4C" w:rsidRDefault="000A6B4C" w:rsidP="00E01728">
      <w:pPr>
        <w:spacing w:before="0" w:after="0"/>
        <w:rPr>
          <w:rFonts w:ascii="Segoe UI" w:eastAsia="Times New Roman" w:hAnsi="Segoe UI" w:cs="Segoe UI"/>
          <w:sz w:val="21"/>
          <w:szCs w:val="21"/>
          <w:lang w:eastAsia="pl-PL"/>
        </w:rPr>
      </w:pPr>
    </w:p>
    <w:p w14:paraId="766CC6AE" w14:textId="6706DF5F" w:rsidR="0028357A" w:rsidRDefault="000A6B4C" w:rsidP="00E01728">
      <w:pPr>
        <w:spacing w:before="0" w:after="0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Na Wirtualną </w:t>
      </w:r>
      <w:r w:rsidR="00B265D6">
        <w:rPr>
          <w:rFonts w:ascii="Segoe UI" w:eastAsia="Times New Roman" w:hAnsi="Segoe UI" w:cs="Segoe UI"/>
          <w:sz w:val="21"/>
          <w:szCs w:val="21"/>
          <w:lang w:eastAsia="pl-PL"/>
        </w:rPr>
        <w:t>W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ycieczkę </w:t>
      </w:r>
      <w:r w:rsidR="00B265D6">
        <w:rPr>
          <w:rFonts w:ascii="Segoe UI" w:eastAsia="Times New Roman" w:hAnsi="Segoe UI" w:cs="Segoe UI"/>
          <w:sz w:val="21"/>
          <w:szCs w:val="21"/>
          <w:lang w:eastAsia="pl-PL"/>
        </w:rPr>
        <w:t xml:space="preserve">WIB, 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>w wygodnej formie online można wybrać się bez logowani</w:t>
      </w:r>
      <w:r w:rsidR="0028357A">
        <w:rPr>
          <w:rFonts w:ascii="Segoe UI" w:eastAsia="Times New Roman" w:hAnsi="Segoe UI" w:cs="Segoe UI"/>
          <w:sz w:val="21"/>
          <w:szCs w:val="21"/>
          <w:lang w:eastAsia="pl-PL"/>
        </w:rPr>
        <w:t>a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 i bez kupowania biletów. Jej treści wzbogacone są </w:t>
      </w:r>
      <w:r w:rsidR="00B265D6">
        <w:rPr>
          <w:rFonts w:ascii="Segoe UI" w:eastAsia="Times New Roman" w:hAnsi="Segoe UI" w:cs="Segoe UI"/>
          <w:sz w:val="21"/>
          <w:szCs w:val="21"/>
          <w:lang w:eastAsia="pl-PL"/>
        </w:rPr>
        <w:t xml:space="preserve">licznymi 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zdjęciami, animacjami i filmami edukacyjnymi. </w:t>
      </w:r>
    </w:p>
    <w:p w14:paraId="0DB4275E" w14:textId="5356EB2F" w:rsidR="00E01728" w:rsidRDefault="00E01728" w:rsidP="00E01728">
      <w:pPr>
        <w:spacing w:before="0" w:after="0"/>
        <w:rPr>
          <w:rFonts w:ascii="Segoe UI" w:eastAsia="Times New Roman" w:hAnsi="Segoe UI" w:cs="Segoe UI"/>
          <w:sz w:val="21"/>
          <w:szCs w:val="21"/>
          <w:lang w:eastAsia="pl-PL"/>
        </w:rPr>
      </w:pPr>
    </w:p>
    <w:p w14:paraId="546CA046" w14:textId="77777777" w:rsidR="00E01728" w:rsidRPr="00624DE5" w:rsidRDefault="00E01728" w:rsidP="00E01728">
      <w:pPr>
        <w:spacing w:before="0" w:after="0"/>
        <w:jc w:val="center"/>
        <w:rPr>
          <w:rFonts w:ascii="Segoe UI" w:eastAsia="Times New Roman" w:hAnsi="Segoe UI" w:cs="Segoe UI"/>
          <w:b/>
          <w:lang w:eastAsia="pl-PL"/>
        </w:rPr>
      </w:pPr>
      <w:r w:rsidRPr="00624DE5">
        <w:rPr>
          <w:rFonts w:ascii="Segoe UI" w:eastAsia="Times New Roman" w:hAnsi="Segoe UI" w:cs="Segoe UI"/>
          <w:b/>
          <w:lang w:eastAsia="pl-PL"/>
        </w:rPr>
        <w:t xml:space="preserve">Mapa wycieczki: </w:t>
      </w:r>
      <w:hyperlink r:id="rId8" w:history="1">
        <w:r w:rsidRPr="00624DE5">
          <w:rPr>
            <w:rStyle w:val="Hipercze"/>
            <w:rFonts w:ascii="Segoe UI" w:eastAsia="Times New Roman" w:hAnsi="Segoe UI" w:cs="Segoe UI"/>
            <w:b/>
            <w:lang w:eastAsia="pl-PL"/>
          </w:rPr>
          <w:t>https://bde.wib.org.pl/wirtualna_wycieczka/</w:t>
        </w:r>
      </w:hyperlink>
    </w:p>
    <w:p w14:paraId="48894017" w14:textId="77777777" w:rsidR="00E01728" w:rsidRDefault="00E01728" w:rsidP="00E01728">
      <w:pPr>
        <w:spacing w:before="0" w:after="0"/>
        <w:rPr>
          <w:rFonts w:ascii="Segoe UI" w:eastAsia="Times New Roman" w:hAnsi="Segoe UI" w:cs="Segoe UI"/>
          <w:sz w:val="21"/>
          <w:szCs w:val="21"/>
          <w:lang w:eastAsia="pl-PL"/>
        </w:rPr>
      </w:pPr>
    </w:p>
    <w:p w14:paraId="6D6C568E" w14:textId="77777777" w:rsidR="00B265D6" w:rsidRDefault="00B265D6" w:rsidP="00E01728">
      <w:pPr>
        <w:spacing w:before="0" w:after="0"/>
        <w:rPr>
          <w:rFonts w:ascii="Segoe UI" w:eastAsia="Times New Roman" w:hAnsi="Segoe UI" w:cs="Segoe UI"/>
          <w:sz w:val="21"/>
          <w:szCs w:val="21"/>
          <w:lang w:eastAsia="pl-PL"/>
        </w:rPr>
      </w:pPr>
    </w:p>
    <w:p w14:paraId="68F47670" w14:textId="4C9B21CE" w:rsidR="009D4946" w:rsidRDefault="00502192" w:rsidP="00E01728">
      <w:pPr>
        <w:spacing w:before="0" w:after="0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>Do zobaczenia</w:t>
      </w:r>
      <w:r w:rsidR="0028357A">
        <w:rPr>
          <w:rFonts w:ascii="Segoe UI" w:eastAsia="Times New Roman" w:hAnsi="Segoe UI" w:cs="Segoe UI"/>
          <w:sz w:val="21"/>
          <w:szCs w:val="21"/>
          <w:lang w:eastAsia="pl-PL"/>
        </w:rPr>
        <w:t xml:space="preserve"> w świecie finansów!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</w:p>
    <w:p w14:paraId="479464D4" w14:textId="77777777" w:rsidR="00E01728" w:rsidRDefault="00E01728" w:rsidP="00E01728">
      <w:pPr>
        <w:spacing w:before="0" w:after="0"/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78FC5868" w14:textId="77777777" w:rsidR="00E01728" w:rsidRDefault="00E01728" w:rsidP="00E01728">
      <w:pPr>
        <w:spacing w:before="0" w:after="0"/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07A9F59A" w14:textId="22ECFEEC" w:rsidR="008771C5" w:rsidRDefault="008771C5" w:rsidP="00E01728">
      <w:pPr>
        <w:spacing w:before="0" w:after="0"/>
        <w:jc w:val="right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8771C5">
        <w:rPr>
          <w:rFonts w:ascii="Segoe UI" w:eastAsia="Times New Roman" w:hAnsi="Segoe UI" w:cs="Segoe UI"/>
          <w:sz w:val="16"/>
          <w:szCs w:val="16"/>
          <w:lang w:eastAsia="pl-PL"/>
        </w:rPr>
        <w:t xml:space="preserve">Sfinansowano przez Narodowy Instytut Wolności - Centrum Rozwoju Społeczeństwa Obywatelskiego </w:t>
      </w:r>
    </w:p>
    <w:p w14:paraId="7D90E89E" w14:textId="6D209EB8" w:rsidR="008771C5" w:rsidRDefault="008771C5" w:rsidP="00E01728">
      <w:pPr>
        <w:spacing w:before="0" w:after="0"/>
        <w:jc w:val="right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8771C5">
        <w:rPr>
          <w:rFonts w:ascii="Segoe UI" w:eastAsia="Times New Roman" w:hAnsi="Segoe UI" w:cs="Segoe UI"/>
          <w:sz w:val="16"/>
          <w:szCs w:val="16"/>
          <w:lang w:eastAsia="pl-PL"/>
        </w:rPr>
        <w:t>ze środków Programu Wsparcia Doraźnego Organizacji Pozarządowych w Zakresie Przeciwdziałania COVID-19</w:t>
      </w:r>
    </w:p>
    <w:p w14:paraId="0FEE2002" w14:textId="3D4EA380" w:rsidR="00477AF4" w:rsidRDefault="00477AF4" w:rsidP="00620A40">
      <w:pPr>
        <w:spacing w:before="0" w:after="0"/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0CE336E0" w14:textId="03BCECE5" w:rsidR="00477AF4" w:rsidRDefault="00477AF4" w:rsidP="00477AF4">
      <w:pPr>
        <w:spacing w:before="0" w:after="0"/>
        <w:jc w:val="left"/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7EF78260" w14:textId="77777777" w:rsidR="00AC6339" w:rsidRPr="00FA0263" w:rsidRDefault="00AC6339" w:rsidP="00AC6339">
      <w:pPr>
        <w:pStyle w:val="NormalnyWeb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0263">
        <w:rPr>
          <w:rFonts w:asciiTheme="minorHAnsi" w:hAnsiTheme="minorHAnsi" w:cstheme="minorHAnsi"/>
          <w:sz w:val="20"/>
          <w:szCs w:val="20"/>
        </w:rPr>
        <w:t xml:space="preserve">Program sektorowy „Bankowcy dla Edukacji” to jeden z największych programów edukacji finansowej w Europie. Jest on realizowany od 2016 r. z inicjatywy Związku Banków Polskich przez Warszawski Instytut Bankowości. Jego celem jest edukowanie uczniów, studentów i seniorów w zakresie podstaw praktycznej wiedzy dotyczącej ekonomii, finansów, bankowości, przedsiębiorczości, </w:t>
      </w:r>
      <w:proofErr w:type="spellStart"/>
      <w:r w:rsidRPr="00FA0263">
        <w:rPr>
          <w:rFonts w:asciiTheme="minorHAnsi" w:hAnsiTheme="minorHAnsi" w:cstheme="minorHAnsi"/>
          <w:sz w:val="20"/>
          <w:szCs w:val="20"/>
        </w:rPr>
        <w:t>cyberbezpieczeństwa</w:t>
      </w:r>
      <w:proofErr w:type="spellEnd"/>
      <w:r w:rsidRPr="00FA0263">
        <w:rPr>
          <w:rFonts w:asciiTheme="minorHAnsi" w:hAnsiTheme="minorHAnsi" w:cstheme="minorHAnsi"/>
          <w:sz w:val="20"/>
          <w:szCs w:val="20"/>
        </w:rPr>
        <w:t xml:space="preserve"> i obrotu bezgotówkowego.</w:t>
      </w:r>
    </w:p>
    <w:p w14:paraId="78519073" w14:textId="77777777" w:rsidR="00AC6339" w:rsidRDefault="00AC6339" w:rsidP="00AC6339">
      <w:pPr>
        <w:pStyle w:val="NormalnyWeb"/>
        <w:spacing w:before="0" w:beforeAutospacing="0" w:after="200" w:afterAutospacing="0" w:line="276" w:lineRule="auto"/>
        <w:jc w:val="both"/>
        <w:rPr>
          <w:rFonts w:ascii="Calibri" w:hAnsi="Calibri" w:cstheme="minorHAnsi"/>
        </w:rPr>
      </w:pPr>
      <w:r>
        <w:rPr>
          <w:noProof/>
        </w:rPr>
        <w:lastRenderedPageBreak/>
        <w:drawing>
          <wp:inline distT="0" distB="0" distL="0" distR="0" wp14:anchorId="0F7842E2" wp14:editId="13AAA19C">
            <wp:extent cx="2000250" cy="68580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F7FD7" w14:textId="7734D698" w:rsidR="00AC6339" w:rsidRDefault="00AC6339" w:rsidP="00AC6339">
      <w:pPr>
        <w:pStyle w:val="NormalnyWeb"/>
        <w:spacing w:before="0" w:beforeAutospacing="0" w:after="200" w:afterAutospacing="0" w:line="276" w:lineRule="auto"/>
        <w:jc w:val="both"/>
        <w:rPr>
          <w:rFonts w:ascii="Calibri" w:hAnsi="Calibri" w:cstheme="minorHAnsi"/>
          <w:b/>
          <w:sz w:val="20"/>
          <w:szCs w:val="20"/>
        </w:rPr>
      </w:pPr>
      <w:r w:rsidRPr="00FA0263">
        <w:rPr>
          <w:rFonts w:ascii="Calibri" w:hAnsi="Calibri" w:cstheme="minorHAnsi"/>
          <w:sz w:val="20"/>
          <w:szCs w:val="20"/>
        </w:rPr>
        <w:t xml:space="preserve">Zapraszamy na stronę </w:t>
      </w:r>
      <w:hyperlink r:id="rId9" w:history="1">
        <w:r w:rsidR="00203D10" w:rsidRPr="00DB0316">
          <w:rPr>
            <w:rStyle w:val="Hipercze"/>
            <w:rFonts w:ascii="Calibri" w:hAnsi="Calibri" w:cstheme="minorHAnsi"/>
            <w:b/>
            <w:sz w:val="20"/>
            <w:szCs w:val="20"/>
          </w:rPr>
          <w:t>www.bde.wib.org.pl</w:t>
        </w:r>
      </w:hyperlink>
    </w:p>
    <w:p w14:paraId="3967790A" w14:textId="405BDBFD" w:rsidR="00477AF4" w:rsidRPr="008771C5" w:rsidRDefault="00203D10" w:rsidP="00203D10">
      <w:pPr>
        <w:pStyle w:val="NormalnyWeb"/>
        <w:spacing w:before="0" w:beforeAutospacing="0" w:after="200" w:afterAutospacing="0" w:line="276" w:lineRule="auto"/>
        <w:jc w:val="both"/>
        <w:rPr>
          <w:rFonts w:ascii="Segoe UI" w:hAnsi="Segoe UI" w:cs="Segoe UI"/>
          <w:sz w:val="16"/>
          <w:szCs w:val="16"/>
        </w:rPr>
      </w:pPr>
      <w:r>
        <w:rPr>
          <w:noProof/>
        </w:rPr>
        <w:drawing>
          <wp:inline distT="0" distB="0" distL="0" distR="0" wp14:anchorId="1EE4D231" wp14:editId="26AACFC5">
            <wp:extent cx="8635323" cy="4857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879" cy="486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5BF98" w14:textId="77777777" w:rsidR="008771C5" w:rsidRPr="009D4946" w:rsidRDefault="008771C5" w:rsidP="00E01728">
      <w:pPr>
        <w:spacing w:before="0" w:after="0"/>
        <w:rPr>
          <w:rFonts w:ascii="Segoe UI" w:eastAsia="Times New Roman" w:hAnsi="Segoe UI" w:cs="Segoe UI"/>
          <w:sz w:val="21"/>
          <w:szCs w:val="21"/>
          <w:lang w:eastAsia="pl-PL"/>
        </w:rPr>
      </w:pPr>
    </w:p>
    <w:p w14:paraId="05708B18" w14:textId="77777777" w:rsidR="009D4946" w:rsidRPr="009D4946" w:rsidRDefault="009D4946" w:rsidP="00E01728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946">
        <w:rPr>
          <w:rFonts w:ascii="Times New Roman" w:eastAsia="Times New Roman" w:hAnsi="Times New Roman" w:cs="Times New Roman"/>
          <w:sz w:val="24"/>
          <w:szCs w:val="24"/>
          <w:lang w:eastAsia="pl-PL"/>
        </w:rPr>
        <w:t>​</w:t>
      </w:r>
    </w:p>
    <w:p w14:paraId="7DC905A8" w14:textId="0319342E" w:rsidR="00834451" w:rsidRPr="00ED19C5" w:rsidRDefault="00834451" w:rsidP="00E01728">
      <w:pPr>
        <w:rPr>
          <w:rFonts w:asciiTheme="minorHAnsi" w:hAnsiTheme="minorHAnsi" w:cstheme="minorHAnsi"/>
        </w:rPr>
      </w:pPr>
    </w:p>
    <w:sectPr w:rsidR="00834451" w:rsidRPr="00ED19C5" w:rsidSect="00203D10">
      <w:headerReference w:type="default" r:id="rId11"/>
      <w:footerReference w:type="default" r:id="rId12"/>
      <w:pgSz w:w="16838" w:h="11906" w:orient="landscape"/>
      <w:pgMar w:top="113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C0290" w14:textId="77777777" w:rsidR="006853A6" w:rsidRDefault="006853A6" w:rsidP="00F75D73">
      <w:pPr>
        <w:spacing w:before="0" w:after="0"/>
      </w:pPr>
      <w:r>
        <w:separator/>
      </w:r>
    </w:p>
  </w:endnote>
  <w:endnote w:type="continuationSeparator" w:id="0">
    <w:p w14:paraId="73581902" w14:textId="77777777" w:rsidR="006853A6" w:rsidRDefault="006853A6" w:rsidP="00F75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FC3BB" w14:textId="10451EB6" w:rsidR="004B5656" w:rsidRPr="00E01728" w:rsidRDefault="00E01728" w:rsidP="00E01728">
    <w:pPr>
      <w:pStyle w:val="NormalnyWeb"/>
      <w:shd w:val="clear" w:color="auto" w:fill="FFFFFF"/>
      <w:spacing w:after="0" w:afterAutospacing="0"/>
      <w:ind w:left="-1134"/>
      <w:jc w:val="right"/>
      <w:rPr>
        <w:rFonts w:ascii="Arial" w:hAnsi="Arial" w:cs="Arial"/>
        <w:color w:val="7A7A7A"/>
        <w:sz w:val="16"/>
        <w:szCs w:val="16"/>
      </w:rPr>
    </w:pPr>
    <w:r>
      <w:rPr>
        <w:noProof/>
      </w:rPr>
      <w:drawing>
        <wp:inline distT="0" distB="0" distL="0" distR="0" wp14:anchorId="68631ED1" wp14:editId="3DA223D3">
          <wp:extent cx="781050" cy="29114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30" cy="294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5141A0">
      <w:rPr>
        <w:rFonts w:ascii="Arial" w:hAnsi="Arial" w:cs="Arial"/>
        <w:color w:val="7A7A7A"/>
        <w:sz w:val="16"/>
        <w:szCs w:val="16"/>
      </w:rPr>
      <w:t>Warszawski Instytut Bankowości,</w:t>
    </w:r>
    <w:r>
      <w:rPr>
        <w:sz w:val="20"/>
      </w:rPr>
      <w:t xml:space="preserve"> </w:t>
    </w:r>
    <w:r w:rsidRPr="005141A0">
      <w:rPr>
        <w:rFonts w:ascii="Arial" w:hAnsi="Arial" w:cs="Arial"/>
        <w:color w:val="7A7A7A"/>
        <w:sz w:val="16"/>
        <w:szCs w:val="16"/>
      </w:rPr>
      <w:t>ul. Solec 38 lok. 104, 00-394 Warszawa, e-mail: </w:t>
    </w:r>
    <w:hyperlink r:id="rId2" w:history="1">
      <w:r w:rsidRPr="005141A0">
        <w:rPr>
          <w:rStyle w:val="Hipercze"/>
          <w:rFonts w:ascii="Arial" w:hAnsi="Arial" w:cs="Arial"/>
          <w:sz w:val="16"/>
          <w:szCs w:val="16"/>
        </w:rPr>
        <w:t>bde@wib.org.pl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74844" w14:textId="77777777" w:rsidR="006853A6" w:rsidRDefault="006853A6" w:rsidP="00F75D73">
      <w:pPr>
        <w:spacing w:before="0" w:after="0"/>
      </w:pPr>
      <w:r>
        <w:separator/>
      </w:r>
    </w:p>
  </w:footnote>
  <w:footnote w:type="continuationSeparator" w:id="0">
    <w:p w14:paraId="521E8487" w14:textId="77777777" w:rsidR="006853A6" w:rsidRDefault="006853A6" w:rsidP="00F75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59849" w14:textId="7D6672E6" w:rsidR="00F75D73" w:rsidRDefault="00F75D73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E52ED25" wp14:editId="4A97616C">
          <wp:simplePos x="0" y="0"/>
          <wp:positionH relativeFrom="column">
            <wp:posOffset>-460375</wp:posOffset>
          </wp:positionH>
          <wp:positionV relativeFrom="paragraph">
            <wp:posOffset>-272415</wp:posOffset>
          </wp:positionV>
          <wp:extent cx="963930" cy="359410"/>
          <wp:effectExtent l="0" t="0" r="7620" b="2540"/>
          <wp:wrapTight wrapText="bothSides">
            <wp:wrapPolygon edited="0">
              <wp:start x="8111" y="0"/>
              <wp:lineTo x="0" y="1145"/>
              <wp:lineTo x="0" y="12594"/>
              <wp:lineTo x="8964" y="18318"/>
              <wp:lineTo x="8964" y="20608"/>
              <wp:lineTo x="21344" y="20608"/>
              <wp:lineTo x="21344" y="5724"/>
              <wp:lineTo x="10245" y="0"/>
              <wp:lineTo x="811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warszawski-instytut-bankowosci-20170321-rgb-3840x1432-przezroczyste-t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9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D0EBC"/>
    <w:multiLevelType w:val="hybridMultilevel"/>
    <w:tmpl w:val="C4F0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7E31"/>
    <w:multiLevelType w:val="hybridMultilevel"/>
    <w:tmpl w:val="0144CA0C"/>
    <w:lvl w:ilvl="0" w:tplc="A89AC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F0855"/>
    <w:multiLevelType w:val="hybridMultilevel"/>
    <w:tmpl w:val="9EF6B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143D1"/>
    <w:multiLevelType w:val="hybridMultilevel"/>
    <w:tmpl w:val="E1CE44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09702BC"/>
    <w:multiLevelType w:val="hybridMultilevel"/>
    <w:tmpl w:val="C13EE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B7859"/>
    <w:multiLevelType w:val="hybridMultilevel"/>
    <w:tmpl w:val="FB6E6B26"/>
    <w:lvl w:ilvl="0" w:tplc="07F4562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118BC"/>
    <w:multiLevelType w:val="hybridMultilevel"/>
    <w:tmpl w:val="12489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632BD"/>
    <w:multiLevelType w:val="hybridMultilevel"/>
    <w:tmpl w:val="6E181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47C35"/>
    <w:multiLevelType w:val="hybridMultilevel"/>
    <w:tmpl w:val="D60898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744042"/>
    <w:multiLevelType w:val="hybridMultilevel"/>
    <w:tmpl w:val="C4F0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8500A"/>
    <w:multiLevelType w:val="hybridMultilevel"/>
    <w:tmpl w:val="C584EF3E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5C8179AF"/>
    <w:multiLevelType w:val="hybridMultilevel"/>
    <w:tmpl w:val="05E0C9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5F3771"/>
    <w:multiLevelType w:val="hybridMultilevel"/>
    <w:tmpl w:val="490A50C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7517F7"/>
    <w:multiLevelType w:val="hybridMultilevel"/>
    <w:tmpl w:val="0276AA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31A6F"/>
    <w:multiLevelType w:val="hybridMultilevel"/>
    <w:tmpl w:val="A80081B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C7C1CEB"/>
    <w:multiLevelType w:val="hybridMultilevel"/>
    <w:tmpl w:val="28B621E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1812BF8"/>
    <w:multiLevelType w:val="hybridMultilevel"/>
    <w:tmpl w:val="17045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46161"/>
    <w:multiLevelType w:val="hybridMultilevel"/>
    <w:tmpl w:val="14508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A5F0D"/>
    <w:multiLevelType w:val="hybridMultilevel"/>
    <w:tmpl w:val="84FAC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8"/>
  </w:num>
  <w:num w:numId="11">
    <w:abstractNumId w:val="13"/>
  </w:num>
  <w:num w:numId="12">
    <w:abstractNumId w:val="15"/>
  </w:num>
  <w:num w:numId="13">
    <w:abstractNumId w:val="11"/>
  </w:num>
  <w:num w:numId="14">
    <w:abstractNumId w:val="8"/>
  </w:num>
  <w:num w:numId="15">
    <w:abstractNumId w:val="14"/>
  </w:num>
  <w:num w:numId="16">
    <w:abstractNumId w:val="17"/>
  </w:num>
  <w:num w:numId="17">
    <w:abstractNumId w:val="12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FC"/>
    <w:rsid w:val="00011175"/>
    <w:rsid w:val="00074367"/>
    <w:rsid w:val="00075593"/>
    <w:rsid w:val="000A234E"/>
    <w:rsid w:val="000A6B4C"/>
    <w:rsid w:val="000F7F31"/>
    <w:rsid w:val="00124747"/>
    <w:rsid w:val="0012756F"/>
    <w:rsid w:val="00163BCF"/>
    <w:rsid w:val="00186591"/>
    <w:rsid w:val="00191E0D"/>
    <w:rsid w:val="001B5301"/>
    <w:rsid w:val="00203D10"/>
    <w:rsid w:val="002147C8"/>
    <w:rsid w:val="0028357A"/>
    <w:rsid w:val="002839C9"/>
    <w:rsid w:val="002C5D7C"/>
    <w:rsid w:val="00316385"/>
    <w:rsid w:val="00333530"/>
    <w:rsid w:val="00372391"/>
    <w:rsid w:val="00381630"/>
    <w:rsid w:val="003D129B"/>
    <w:rsid w:val="00406431"/>
    <w:rsid w:val="00435B2D"/>
    <w:rsid w:val="004444FC"/>
    <w:rsid w:val="00462AED"/>
    <w:rsid w:val="0047706D"/>
    <w:rsid w:val="00477AF4"/>
    <w:rsid w:val="004B5656"/>
    <w:rsid w:val="004B647B"/>
    <w:rsid w:val="004B75B4"/>
    <w:rsid w:val="004E4252"/>
    <w:rsid w:val="00502192"/>
    <w:rsid w:val="00511A8A"/>
    <w:rsid w:val="00550648"/>
    <w:rsid w:val="00551537"/>
    <w:rsid w:val="00571F0B"/>
    <w:rsid w:val="005B68C0"/>
    <w:rsid w:val="005D69F5"/>
    <w:rsid w:val="005F5F2E"/>
    <w:rsid w:val="00603D2E"/>
    <w:rsid w:val="00620A40"/>
    <w:rsid w:val="00653107"/>
    <w:rsid w:val="0066461A"/>
    <w:rsid w:val="006713DF"/>
    <w:rsid w:val="006853A6"/>
    <w:rsid w:val="00725B74"/>
    <w:rsid w:val="00725B78"/>
    <w:rsid w:val="00767869"/>
    <w:rsid w:val="007A3BCB"/>
    <w:rsid w:val="007E06D0"/>
    <w:rsid w:val="007F7B43"/>
    <w:rsid w:val="00834451"/>
    <w:rsid w:val="008771C5"/>
    <w:rsid w:val="00897E1E"/>
    <w:rsid w:val="008A1EC0"/>
    <w:rsid w:val="008C2B90"/>
    <w:rsid w:val="00931946"/>
    <w:rsid w:val="00970D8F"/>
    <w:rsid w:val="009D15B6"/>
    <w:rsid w:val="009D4946"/>
    <w:rsid w:val="00A71EE3"/>
    <w:rsid w:val="00A86543"/>
    <w:rsid w:val="00AA1B2F"/>
    <w:rsid w:val="00AC468C"/>
    <w:rsid w:val="00AC6339"/>
    <w:rsid w:val="00B265D6"/>
    <w:rsid w:val="00B26DA8"/>
    <w:rsid w:val="00B26DF3"/>
    <w:rsid w:val="00B55A6D"/>
    <w:rsid w:val="00B666EA"/>
    <w:rsid w:val="00BC16FA"/>
    <w:rsid w:val="00BC2C4E"/>
    <w:rsid w:val="00BC5ACA"/>
    <w:rsid w:val="00BF2A8F"/>
    <w:rsid w:val="00BF645D"/>
    <w:rsid w:val="00C15B3D"/>
    <w:rsid w:val="00CD47D4"/>
    <w:rsid w:val="00D929EF"/>
    <w:rsid w:val="00DD2A0B"/>
    <w:rsid w:val="00DF3E2F"/>
    <w:rsid w:val="00E01728"/>
    <w:rsid w:val="00E04679"/>
    <w:rsid w:val="00E24D91"/>
    <w:rsid w:val="00E9468D"/>
    <w:rsid w:val="00EA6DE8"/>
    <w:rsid w:val="00EB01FD"/>
    <w:rsid w:val="00EB3568"/>
    <w:rsid w:val="00EC0BF4"/>
    <w:rsid w:val="00ED19C5"/>
    <w:rsid w:val="00EE3661"/>
    <w:rsid w:val="00EF6B3D"/>
    <w:rsid w:val="00F01A0F"/>
    <w:rsid w:val="00F20C3F"/>
    <w:rsid w:val="00F634CE"/>
    <w:rsid w:val="00F75D73"/>
    <w:rsid w:val="00F91549"/>
    <w:rsid w:val="00F978F4"/>
    <w:rsid w:val="00FB6CEC"/>
    <w:rsid w:val="00FC781C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36DAF"/>
  <w15:chartTrackingRefBased/>
  <w15:docId w15:val="{B1268868-5B1A-4480-9652-FF92A494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391"/>
    <w:pPr>
      <w:spacing w:before="120" w:after="120" w:line="240" w:lineRule="auto"/>
      <w:jc w:val="both"/>
    </w:pPr>
    <w:rPr>
      <w:rFonts w:ascii="Calibri Light" w:hAnsi="Calibri Ligh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2391"/>
    <w:pPr>
      <w:keepNext/>
      <w:keepLines/>
      <w:spacing w:before="36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2391"/>
    <w:pPr>
      <w:keepNext/>
      <w:keepLines/>
      <w:spacing w:before="36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2391"/>
    <w:pPr>
      <w:keepNext/>
      <w:keepLines/>
      <w:spacing w:before="36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5D7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75D73"/>
  </w:style>
  <w:style w:type="paragraph" w:styleId="Stopka">
    <w:name w:val="footer"/>
    <w:basedOn w:val="Normalny"/>
    <w:link w:val="StopkaZnak"/>
    <w:uiPriority w:val="99"/>
    <w:unhideWhenUsed/>
    <w:rsid w:val="00F75D7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75D73"/>
  </w:style>
  <w:style w:type="paragraph" w:styleId="Tytu">
    <w:name w:val="Title"/>
    <w:basedOn w:val="Normalny"/>
    <w:next w:val="Normalny"/>
    <w:link w:val="TytuZnak"/>
    <w:uiPriority w:val="10"/>
    <w:qFormat/>
    <w:rsid w:val="00372391"/>
    <w:pPr>
      <w:spacing w:before="36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2391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3723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723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23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B2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B2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2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29B"/>
    <w:rPr>
      <w:rFonts w:ascii="Calibri Light" w:hAnsi="Calibri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29B"/>
    <w:rPr>
      <w:rFonts w:ascii="Calibri Light" w:hAnsi="Calibri Light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129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129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017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3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7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4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de.wib.org.pl/wirtualna_wycieczk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bde.wib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de@wib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Kondek</dc:creator>
  <cp:keywords/>
  <dc:description/>
  <cp:lastModifiedBy>Dawid Grabarek</cp:lastModifiedBy>
  <cp:revision>9</cp:revision>
  <dcterms:created xsi:type="dcterms:W3CDTF">2021-01-14T08:07:00Z</dcterms:created>
  <dcterms:modified xsi:type="dcterms:W3CDTF">2021-02-23T06:28:00Z</dcterms:modified>
</cp:coreProperties>
</file>